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40" w:before="0"/>
      </w:pPr>
      <w:r>
        <w:t xml:space="preserve"/>
      </w:r>
    </w:p>
    <w:p>
      <w:pPr>
        <w:spacing w:after="80" w:before="0"/>
        <w:jc w:val="center"/>
      </w:pPr>
      <w:r>
        <w:rPr>
          <w:rFonts w:ascii="Georgia" w:cs="Georgia" w:eastAsia="Georgia" w:hAnsi="Georgia"/>
          <w:b/>
          <w:bCs/>
          <w:i w:val="false"/>
          <w:iCs w:val="false"/>
          <w:color w:val="8B6914"/>
          <w:sz w:val="22"/>
          <w:szCs w:val="22"/>
        </w:rPr>
        <w:t xml:space="preserve">QUEST HUMANITIES</w:t>
      </w:r>
    </w:p>
    <w:p>
      <w:pPr>
        <w:spacing w:after="600" w:before="0"/>
        <w:jc w:val="center"/>
      </w:pPr>
      <w:r>
        <w:rPr>
          <w:rFonts w:ascii="Georgia" w:cs="Georgia" w:eastAsia="Georgia" w:hAnsi="Georgia"/>
          <w:b w:val="false"/>
          <w:bCs w:val="false"/>
          <w:i/>
          <w:iCs/>
          <w:color w:val="555555"/>
          <w:sz w:val="20"/>
          <w:szCs w:val="20"/>
        </w:rPr>
        <w:t xml:space="preserve">questtextbooks.com</w:t>
      </w:r>
    </w:p>
    <w:p>
      <w:pPr>
        <w:spacing w:after="40" w:before="0"/>
        <w:jc w:val="center"/>
      </w:pPr>
      <w:r>
        <w:rPr>
          <w:rFonts w:ascii="Georgia" w:cs="Georgia" w:eastAsia="Georgia" w:hAnsi="Georgia"/>
          <w:b/>
          <w:bCs/>
          <w:i w:val="false"/>
          <w:iCs w:val="false"/>
          <w:color w:val="1A2A4A"/>
          <w:sz w:val="44"/>
          <w:szCs w:val="44"/>
        </w:rPr>
        <w:t xml:space="preserve">Frameworks for Learning:</w:t>
      </w:r>
    </w:p>
    <w:p>
      <w:pPr>
        <w:spacing w:after="400" w:before="0"/>
        <w:jc w:val="center"/>
      </w:pPr>
      <w:r>
        <w:rPr>
          <w:rFonts w:ascii="Georgia" w:cs="Georgia" w:eastAsia="Georgia" w:hAnsi="Georgia"/>
          <w:b/>
          <w:bCs/>
          <w:i w:val="false"/>
          <w:iCs w:val="false"/>
          <w:color w:val="1A2A4A"/>
          <w:sz w:val="36"/>
          <w:szCs w:val="36"/>
        </w:rPr>
        <w:t xml:space="preserve">Pedagogical Architecture in the Humanities</w:t>
      </w:r>
    </w:p>
    <w:p>
      <w:pPr>
        <w:spacing w:after="600" w:before="0"/>
        <w:jc w:val="center"/>
      </w:pPr>
      <w:r>
        <w:rPr>
          <w:rFonts w:ascii="Georgia" w:cs="Georgia" w:eastAsia="Georgia" w:hAnsi="Georgia"/>
          <w:b w:val="false"/>
          <w:bCs w:val="false"/>
          <w:i/>
          <w:iCs/>
          <w:color w:val="8B6914"/>
          <w:sz w:val="30"/>
          <w:szCs w:val="30"/>
        </w:rPr>
        <w:t xml:space="preserve">and the Case for QUEST</w:t>
      </w:r>
    </w:p>
    <w:p>
      <w:pPr>
        <w:pBdr>
          <w:bottom w:val="single" w:color="CCCCCC" w:sz="4"/>
        </w:pBdr>
        <w:spacing w:after="120" w:before="120"/>
      </w:pPr>
      <w:r>
        <w:t xml:space="preserve"/>
      </w:r>
    </w:p>
    <w:p>
      <w:pPr>
        <w:spacing w:after="240" w:before="0"/>
      </w:pPr>
      <w:r>
        <w:t xml:space="preserve"/>
      </w:r>
    </w:p>
    <w:p>
      <w:pPr>
        <w:spacing w:after="80" w:before="0"/>
        <w:jc w:val="center"/>
      </w:pPr>
      <w:r>
        <w:rPr>
          <w:rFonts w:ascii="Georgia" w:cs="Georgia" w:eastAsia="Georgia" w:hAnsi="Georgia"/>
          <w:b w:val="false"/>
          <w:bCs w:val="false"/>
          <w:i/>
          <w:iCs/>
          <w:color w:val="555555"/>
          <w:sz w:val="22"/>
          <w:szCs w:val="22"/>
        </w:rPr>
        <w:t xml:space="preserve">A Research Paper for Educators, Students, and Lifelong Learners</w:t>
      </w:r>
    </w:p>
    <w:p>
      <w:pPr>
        <w:spacing w:after="200" w:before="0"/>
      </w:pPr>
      <w:r>
        <w:t xml:space="preserve"/>
      </w:r>
    </w:p>
    <w:p>
      <w:pPr>
        <w:spacing w:after="80" w:before="0"/>
        <w:jc w:val="center"/>
      </w:pPr>
      <w:r>
        <w:rPr>
          <w:rFonts w:ascii="Georgia" w:cs="Georgia" w:eastAsia="Georgia" w:hAnsi="Georgia"/>
          <w:b w:val="false"/>
          <w:bCs w:val="false"/>
          <w:i w:val="false"/>
          <w:iCs w:val="false"/>
          <w:color w:val="555555"/>
          <w:sz w:val="20"/>
          <w:szCs w:val="20"/>
        </w:rPr>
        <w:t xml:space="preserve">Quest Humanities Research Series · 2026</w:t>
      </w:r>
    </w:p>
    <w:p>
      <w:r>
        <w:br w:type="page"/>
      </w:r>
    </w:p>
    <w:p>
      <w:pPr>
        <w:pStyle w:val="Heading1"/>
        <w:spacing w:after="160" w:before="480"/>
      </w:pPr>
      <w:r>
        <w:rPr>
          <w:rFonts w:ascii="Georgia" w:cs="Georgia" w:eastAsia="Georgia" w:hAnsi="Georgia"/>
          <w:b/>
          <w:bCs/>
          <w:color w:val="1A2A4A"/>
          <w:sz w:val="36"/>
          <w:szCs w:val="36"/>
        </w:rPr>
        <w:t xml:space="preserve">Abstract</w:t>
      </w:r>
    </w:p>
    <w:p>
      <w:pPr>
        <w:spacing w:after="160" w:before="0"/>
        <w:jc w:val="both"/>
      </w:pPr>
      <w:r>
        <w:rPr>
          <w:rFonts w:ascii="Georgia" w:cs="Georgia" w:eastAsia="Georgia" w:hAnsi="Georgia"/>
          <w:b w:val="false"/>
          <w:bCs w:val="false"/>
          <w:i w:val="false"/>
          <w:iCs w:val="false"/>
          <w:color w:val="000000"/>
          <w:sz w:val="22"/>
          <w:szCs w:val="22"/>
        </w:rPr>
        <w:t xml:space="preserve">Pedagogical frameworks — structured models that describe how learning unfolds — are among the most consequential tools available to educators. By providing a shared vocabulary and a principled sequence of learning activities, they allow teachers to design with intention, help students recognise and manage their own cognitive processes, and ensure that no stage of deep understanding is accidentally skipped. This paper surveys the most influential frameworks currently in use across education: Bloom's Taxonomy of Educational Objectives; the constructivist traditions of Piaget and Vygotsky; the 5E Instructional Model developed for science education; Wiggins and McTighe's Understanding by Design and Backward Design; the Gradual Release of Responsibility; Inquiry-Based and Problem-Based Learning; the SOLO Taxonomy; the disciplinary literacy movement associated with Shanahan and Shanahan; and the ancient tradition of the Socratic Method.</w:t>
      </w:r>
    </w:p>
    <w:p>
      <w:pPr>
        <w:spacing w:after="160" w:before="0"/>
        <w:jc w:val="both"/>
      </w:pPr>
      <w:r>
        <w:rPr>
          <w:rFonts w:ascii="Georgia" w:cs="Georgia" w:eastAsia="Georgia" w:hAnsi="Georgia"/>
          <w:b w:val="false"/>
          <w:bCs w:val="false"/>
          <w:i w:val="false"/>
          <w:iCs w:val="false"/>
          <w:color w:val="000000"/>
          <w:sz w:val="22"/>
          <w:szCs w:val="22"/>
        </w:rPr>
        <w:t xml:space="preserve">The paper then examines the QUEST framework — Question, Unpack, Examine, Synthesise, Transfer — developed as the pedagogical spine of Quest Humanities, a free humanities education platform serving senior secondary and post-secondary students across Australian and international curricula. Drawing on the shared logic of the major frameworks, the paper argues that QUEST is uniquely suited to the recursive, evidence-based, argument-centred nature of humanities inquiry. Each stage of QUEST is explained in detail, with discussion of its cognitive purpose, disciplinary application, and relationship to assessment and curriculum standards.</w:t>
      </w:r>
    </w:p>
    <w:p>
      <w:pPr>
        <w:spacing w:after="160" w:before="0"/>
        <w:jc w:val="both"/>
      </w:pPr>
      <w:r>
        <w:rPr>
          <w:rFonts w:ascii="Georgia" w:cs="Georgia" w:eastAsia="Georgia" w:hAnsi="Georgia"/>
          <w:b w:val="false"/>
          <w:bCs w:val="false"/>
          <w:i w:val="false"/>
          <w:iCs w:val="false"/>
          <w:color w:val="000000"/>
          <w:sz w:val="22"/>
          <w:szCs w:val="22"/>
        </w:rPr>
        <w:t xml:space="preserve">The paper concludes that a well-designed framework does not reduce the richness of humanities learning but amplifies it — freeing students from the anxiety of not knowing where to begin, and freeing teachers from the unpredictability of unstructured inquiry. QUEST is offered not as a formula but as a scaffold: a structure strong enough to support genuine thinking, and flexible enough to accommodate the recursive, contested, and generative nature of the disciplines it serves.</w:t>
      </w:r>
    </w:p>
    <w:p>
      <w:pPr>
        <w:pBdr>
          <w:bottom w:val="single" w:color="CCCCCC" w:sz="4"/>
        </w:pBdr>
        <w:spacing w:after="120" w:before="120"/>
      </w:pPr>
      <w:r>
        <w:t xml:space="preserve"/>
      </w:r>
    </w:p>
    <w:p>
      <w:pPr>
        <w:spacing w:after="80" w:before="0"/>
      </w:pPr>
      <w:r>
        <w:t xml:space="preserve"/>
      </w:r>
    </w:p>
    <w:p>
      <w:pPr>
        <w:spacing w:after="160" w:before="0"/>
        <w:jc w:val="both"/>
      </w:pPr>
      <w:r>
        <w:rPr>
          <w:rFonts w:ascii="Georgia" w:cs="Georgia" w:eastAsia="Georgia" w:hAnsi="Georgia"/>
          <w:b/>
          <w:bCs/>
          <w:i w:val="false"/>
          <w:iCs w:val="false"/>
          <w:color w:val="000000"/>
          <w:sz w:val="22"/>
          <w:szCs w:val="22"/>
        </w:rPr>
        <w:t xml:space="preserve">Keywords: </w:t>
      </w:r>
      <w:r>
        <w:rPr>
          <w:rFonts w:ascii="Georgia" w:cs="Georgia" w:eastAsia="Georgia" w:hAnsi="Georgia"/>
          <w:b w:val="false"/>
          <w:bCs w:val="false"/>
          <w:i w:val="false"/>
          <w:iCs w:val="false"/>
          <w:color w:val="000000"/>
          <w:sz w:val="22"/>
          <w:szCs w:val="22"/>
        </w:rPr>
        <w:t xml:space="preserve">pedagogical frameworks, inquiry-based learning, humanities education, QUEST framework, constructivism, 5E model, Bloom's Taxonomy, SOLO Taxonomy, Understanding by Design, disciplinary literacy, senior secondary curriculum, Quest Humanities</w:t>
      </w:r>
    </w:p>
    <w:p>
      <w:r>
        <w:br w:type="page"/>
      </w:r>
    </w:p>
    <w:p>
      <w:pPr>
        <w:pStyle w:val="Heading1"/>
        <w:spacing w:after="160" w:before="480"/>
      </w:pPr>
      <w:r>
        <w:rPr>
          <w:rFonts w:ascii="Georgia" w:cs="Georgia" w:eastAsia="Georgia" w:hAnsi="Georgia"/>
          <w:b/>
          <w:bCs/>
          <w:color w:val="1A2A4A"/>
          <w:sz w:val="36"/>
          <w:szCs w:val="36"/>
        </w:rPr>
        <w:t xml:space="preserve">1. Introduction: Why Frameworks Matter</w:t>
      </w:r>
    </w:p>
    <w:p>
      <w:pPr>
        <w:spacing w:after="160" w:before="0"/>
        <w:jc w:val="both"/>
      </w:pPr>
      <w:r>
        <w:rPr>
          <w:rFonts w:ascii="Georgia" w:cs="Georgia" w:eastAsia="Georgia" w:hAnsi="Georgia"/>
          <w:b w:val="false"/>
          <w:bCs w:val="false"/>
          <w:i w:val="false"/>
          <w:iCs w:val="false"/>
          <w:color w:val="000000"/>
          <w:sz w:val="22"/>
          <w:szCs w:val="22"/>
        </w:rPr>
        <w:t xml:space="preserve">Ask any experienced teacher what separates a well-designed lesson from an ineffective one and they will rarely point to content. They will point to structure — the decision about where to begin, how to build complexity progressively, when to let students struggle and when to intervene, and how to close an encounter with new material in a way that makes the learning durable. These are questions of pedagogy, and the history of educational research is, in large part, a history of attempts to answer them systematically.</w:t>
      </w:r>
    </w:p>
    <w:p>
      <w:pPr>
        <w:spacing w:after="160" w:before="0"/>
        <w:jc w:val="both"/>
      </w:pPr>
      <w:r>
        <w:rPr>
          <w:rFonts w:ascii="Georgia" w:cs="Georgia" w:eastAsia="Georgia" w:hAnsi="Georgia"/>
          <w:b w:val="false"/>
          <w:bCs w:val="false"/>
          <w:i w:val="false"/>
          <w:iCs w:val="false"/>
          <w:color w:val="000000"/>
          <w:sz w:val="22"/>
          <w:szCs w:val="22"/>
        </w:rPr>
        <w:t xml:space="preserve">A pedagogical framework is a principled answer to those questions. It describes, at a level of abstraction above any particular lesson or content area, the stages through which learning characteristically moves — from initial encounter with an idea, through active engagement with it, toward some form of demonstrated understanding. A good framework is not a recipe: it does not specify what to say on Tuesday morning or which source to use for a particular topic. It is more like an architectural plan — a model of the structural logic that underlies good teaching, which can be instantiated in countless different ways depending on discipline, context, student cohort, and learning goals.</w:t>
      </w:r>
    </w:p>
    <w:p>
      <w:pPr>
        <w:spacing w:after="160" w:before="0"/>
        <w:jc w:val="both"/>
      </w:pPr>
      <w:r>
        <w:rPr>
          <w:rFonts w:ascii="Georgia" w:cs="Georgia" w:eastAsia="Georgia" w:hAnsi="Georgia"/>
          <w:b w:val="false"/>
          <w:bCs w:val="false"/>
          <w:i w:val="false"/>
          <w:iCs w:val="false"/>
          <w:color w:val="000000"/>
          <w:sz w:val="22"/>
          <w:szCs w:val="22"/>
        </w:rPr>
        <w:t xml:space="preserve">The value of frameworks for students is often underestimated. When a student understands that they are in the 'Examine' stage of a QUEST inquiry, or in the 'Elaboration' phase of a 5E science lesson, they are not merely following instructions. They are developing metacognitive awareness — the ability to think about their own thinking — which decades of research identify as one of the most powerful predictors of academic achievement (Hattie, 2009; Flavell, 1979). A student who can locate themselves within a learning process is better equipped to manage complexity, recover from confusion, and persist through difficulty.</w:t>
      </w:r>
    </w:p>
    <w:p>
      <w:pPr>
        <w:spacing w:after="160" w:before="0"/>
        <w:jc w:val="both"/>
      </w:pPr>
      <w:r>
        <w:rPr>
          <w:rFonts w:ascii="Georgia" w:cs="Georgia" w:eastAsia="Georgia" w:hAnsi="Georgia"/>
          <w:b w:val="false"/>
          <w:bCs w:val="false"/>
          <w:i w:val="false"/>
          <w:iCs w:val="false"/>
          <w:color w:val="000000"/>
          <w:sz w:val="22"/>
          <w:szCs w:val="22"/>
        </w:rPr>
        <w:t xml:space="preserve">The value of frameworks for teachers is equally significant. A shared framework provides a common language across a department or institution, making collaborative planning and peer observation more productive. It ensures that assessment tasks are deliberately connected to the cognitive demands they are intended to measure. And it reduces the risk of what might be called 'content coverage' teaching — racing through material at the expense of depth — by building reflection, analysis, and synthesis into the structural design of learning itself.</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A pedagogical framework is not a constraint on good teaching. It is the architecture that makes deep teaching possible — the difference between a building that stands and one that merely looks impressive from the outside.</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This paper proceeds in three parts. The first surveys the major pedagogical frameworks that have shaped contemporary educational practice, attending to their intellectual origins, their core claims about how learning works, and the reasoning that makes each compelling. The second focuses on the QUEST framework — examining each of its five stages in detail and explaining how they embody the best insights of the broader tradition. The third considers why QUEST is particularly well suited to the humanities, and how it aligns with the demands of Australian and international senior secondary curricula.</w:t>
      </w:r>
    </w:p>
    <w:p>
      <w:r>
        <w:br w:type="page"/>
      </w:r>
    </w:p>
    <w:p>
      <w:pPr>
        <w:pStyle w:val="Heading1"/>
        <w:spacing w:after="160" w:before="480"/>
      </w:pPr>
      <w:r>
        <w:rPr>
          <w:rFonts w:ascii="Georgia" w:cs="Georgia" w:eastAsia="Georgia" w:hAnsi="Georgia"/>
          <w:b/>
          <w:bCs/>
          <w:color w:val="1A2A4A"/>
          <w:sz w:val="36"/>
          <w:szCs w:val="36"/>
        </w:rPr>
        <w:t xml:space="preserve">2. A Survey of Major Pedagogical Frameworks</w:t>
      </w:r>
    </w:p>
    <w:p>
      <w:pPr>
        <w:spacing w:after="160" w:before="0"/>
        <w:jc w:val="both"/>
      </w:pPr>
      <w:r>
        <w:rPr>
          <w:rFonts w:ascii="Georgia" w:cs="Georgia" w:eastAsia="Georgia" w:hAnsi="Georgia"/>
          <w:b w:val="false"/>
          <w:bCs w:val="false"/>
          <w:i w:val="false"/>
          <w:iCs w:val="false"/>
          <w:color w:val="000000"/>
          <w:sz w:val="22"/>
          <w:szCs w:val="22"/>
        </w:rPr>
        <w:t xml:space="preserve">The frameworks surveyed in this section were selected on two criteria: influence (each has shaped curriculum design, teacher training, or educational research in significant ways) and relevance (each illuminates some aspect of the learning process that bears on the design of QUEST). They are presented roughly in chronological order of their development, though the connections between them matter more than the chronology.</w:t>
      </w:r>
    </w:p>
    <w:p>
      <w:pPr>
        <w:pStyle w:val="Heading2"/>
        <w:spacing w:after="120" w:before="360"/>
      </w:pPr>
      <w:r>
        <w:rPr>
          <w:rFonts w:ascii="Georgia" w:cs="Georgia" w:eastAsia="Georgia" w:hAnsi="Georgia"/>
          <w:b/>
          <w:bCs/>
          <w:color w:val="1A2A4A"/>
          <w:sz w:val="28"/>
          <w:szCs w:val="28"/>
        </w:rPr>
        <w:t xml:space="preserve">2.1 The Socratic Method: The Oldest Framework</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2439"/>
        <w:gridCol w:w="6270"/>
      </w:tblGrid>
      <w:tr>
        <w:tc>
          <w:tcPr>
            <w:tcW w:type="dxa" w:w="2439"/>
            <w:tcBorders>
              <w:top w:val="none" w:color="FFFFFF" w:sz="0"/>
              <w:left w:val="none" w:color="FFFFFF" w:sz="0"/>
              <w:bottom w:val="none" w:color="FFFFFF" w:sz="0"/>
              <w:right w:val="none" w:color="FFFFFF" w:sz="0"/>
            </w:tcBorders>
            <w:shd w:fill="4A4A6B" w:val="clear"/>
            <w:tcMar>
              <w:top w:type="dxa" w:w="80"/>
              <w:left w:type="dxa" w:w="160"/>
              <w:bottom w:type="dxa" w:w="80"/>
              <w:right w:type="dxa" w:w="160"/>
            </w:tcMar>
          </w:tcPr>
          <w:p>
            <w:r>
              <w:rPr>
                <w:rFonts w:ascii="Georgia" w:cs="Georgia" w:eastAsia="Georgia" w:hAnsi="Georgia"/>
                <w:b/>
                <w:bCs/>
                <w:color w:val="FFFFFF"/>
                <w:sz w:val="18"/>
                <w:szCs w:val="18"/>
              </w:rPr>
              <w:t xml:space="preserve">Framework</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The Socratic Method</w:t>
            </w:r>
          </w:p>
        </w:tc>
      </w:tr>
      <w:tr>
        <w:tc>
          <w:tcPr>
            <w:tcW w:type="dxa" w:w="2439"/>
            <w:tcBorders>
              <w:top w:val="none" w:color="FFFFFF" w:sz="0"/>
              <w:left w:val="none" w:color="FFFFFF" w:sz="0"/>
              <w:bottom w:val="none" w:color="FFFFFF" w:sz="0"/>
              <w:right w:val="none" w:color="FFFFFF" w:sz="0"/>
            </w:tcBorders>
            <w:shd w:fill="4A4A6B" w:val="clear"/>
            <w:tcMar>
              <w:top w:type="dxa" w:w="80"/>
              <w:left w:type="dxa" w:w="160"/>
              <w:bottom w:type="dxa" w:w="80"/>
              <w:right w:type="dxa" w:w="160"/>
            </w:tcMar>
          </w:tcPr>
          <w:p>
            <w:r>
              <w:rPr>
                <w:rFonts w:ascii="Georgia" w:cs="Georgia" w:eastAsia="Georgia" w:hAnsi="Georgia"/>
                <w:b/>
                <w:bCs/>
                <w:color w:val="FFFFFF"/>
                <w:sz w:val="18"/>
                <w:szCs w:val="18"/>
              </w:rPr>
              <w:t xml:space="preserve">Origin</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Ancient Athens, 5th–4th century BCE</w:t>
            </w:r>
          </w:p>
        </w:tc>
      </w:tr>
      <w:tr>
        <w:tc>
          <w:tcPr>
            <w:tcW w:type="dxa" w:w="2439"/>
            <w:tcBorders>
              <w:top w:val="none" w:color="FFFFFF" w:sz="0"/>
              <w:left w:val="none" w:color="FFFFFF" w:sz="0"/>
              <w:bottom w:val="none" w:color="FFFFFF" w:sz="0"/>
              <w:right w:val="none" w:color="FFFFFF" w:sz="0"/>
            </w:tcBorders>
            <w:shd w:fill="4A4A6B" w:val="clear"/>
            <w:tcMar>
              <w:top w:type="dxa" w:w="80"/>
              <w:left w:type="dxa" w:w="160"/>
              <w:bottom w:type="dxa" w:w="80"/>
              <w:right w:type="dxa" w:w="160"/>
            </w:tcMar>
          </w:tcPr>
          <w:p>
            <w:r>
              <w:rPr>
                <w:rFonts w:ascii="Georgia" w:cs="Georgia" w:eastAsia="Georgia" w:hAnsi="Georgia"/>
                <w:b/>
                <w:bCs/>
                <w:color w:val="FFFFFF"/>
                <w:sz w:val="18"/>
                <w:szCs w:val="18"/>
              </w:rPr>
              <w:t xml:space="preserve">Home discipline</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Philosophy; broadly adopted across all inquiry disciplines</w:t>
            </w:r>
          </w:p>
        </w:tc>
      </w:tr>
      <w:tr>
        <w:tc>
          <w:tcPr>
            <w:tcW w:type="dxa" w:w="2439"/>
            <w:tcBorders>
              <w:top w:val="none" w:color="FFFFFF" w:sz="0"/>
              <w:left w:val="none" w:color="FFFFFF" w:sz="0"/>
              <w:bottom w:val="none" w:color="FFFFFF" w:sz="0"/>
              <w:right w:val="none" w:color="FFFFFF" w:sz="0"/>
            </w:tcBorders>
            <w:shd w:fill="4A4A6B" w:val="clear"/>
            <w:tcMar>
              <w:top w:type="dxa" w:w="80"/>
              <w:left w:type="dxa" w:w="160"/>
              <w:bottom w:type="dxa" w:w="80"/>
              <w:right w:type="dxa" w:w="160"/>
            </w:tcMar>
          </w:tcPr>
          <w:p>
            <w:r>
              <w:rPr>
                <w:rFonts w:ascii="Georgia" w:cs="Georgia" w:eastAsia="Georgia" w:hAnsi="Georgia"/>
                <w:b/>
                <w:bCs/>
                <w:color w:val="FFFFFF"/>
                <w:sz w:val="18"/>
                <w:szCs w:val="18"/>
              </w:rPr>
              <w:t xml:space="preserve">Core logic</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Learning emerges through structured questioning and productive dialogue rather than transmission of information</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Before there were textbooks, assessment rubrics, or curriculum frameworks, there was Socrates — pacing the agora, asking questions. The Socratic Method, documented in the dialogues of Plato, is the oldest systematic pedagogical approach in the Western tradition, and it remains one of the most theoretically sophisticated. Its core insight is that genuine understanding cannot be delivered from teacher to student like a package. It must be constructed by the learner through a process of active inquiry, and the best catalyst for that construction is a carefully posed question.</w:t>
      </w:r>
    </w:p>
    <w:p>
      <w:pPr>
        <w:spacing w:after="160" w:before="0"/>
        <w:jc w:val="both"/>
      </w:pPr>
      <w:r>
        <w:rPr>
          <w:rFonts w:ascii="Georgia" w:cs="Georgia" w:eastAsia="Georgia" w:hAnsi="Georgia"/>
          <w:b w:val="false"/>
          <w:bCs w:val="false"/>
          <w:i w:val="false"/>
          <w:iCs w:val="false"/>
          <w:color w:val="000000"/>
          <w:sz w:val="22"/>
          <w:szCs w:val="22"/>
        </w:rPr>
        <w:t xml:space="preserve">In its classical form, the method works through elenchus — a process of rigorous cross-examination in which the teacher (or interlocutor) systematically tests the learner's initial claims, exposes contradictions, and guides the learner toward a more defensible position. Crucially, Socrates rarely delivered the answer. His role was to ask questions that revealed the inadequacy of the learner's current understanding — what he described as the condition of 'aporia', or productive confusion — and thereby motivate the work of genuine inquiry.</w:t>
      </w:r>
    </w:p>
    <w:p>
      <w:pPr>
        <w:spacing w:after="160" w:before="0"/>
        <w:jc w:val="both"/>
      </w:pPr>
      <w:r>
        <w:rPr>
          <w:rFonts w:ascii="Georgia" w:cs="Georgia" w:eastAsia="Georgia" w:hAnsi="Georgia"/>
          <w:b w:val="false"/>
          <w:bCs w:val="false"/>
          <w:i w:val="false"/>
          <w:iCs w:val="false"/>
          <w:color w:val="000000"/>
          <w:sz w:val="22"/>
          <w:szCs w:val="22"/>
        </w:rPr>
        <w:t xml:space="preserve">The Socratic Method survives in contemporary education in several forms: in the Socratic seminar, widely used in humanities classrooms; in the case method pioneered at Harvard Law School; in the 'cold call' techniques documented by Doug Lemov (2010) in Teach Like a Champion; and in the broader tradition of discussion-based learning that underpins much of what happens in university tutorials and senior secondary humanities classrooms. Its influence on every subsequent framework on this list is pervasive and largely unacknowledged.</w:t>
      </w:r>
    </w:p>
    <w:p>
      <w:pPr>
        <w:spacing w:after="160" w:before="0"/>
        <w:jc w:val="both"/>
      </w:pPr>
      <w:r>
        <w:rPr>
          <w:rFonts w:ascii="Georgia" w:cs="Georgia" w:eastAsia="Georgia" w:hAnsi="Georgia"/>
          <w:b/>
          <w:bCs/>
          <w:i w:val="false"/>
          <w:iCs w:val="false"/>
          <w:color w:val="000000"/>
          <w:sz w:val="22"/>
          <w:szCs w:val="22"/>
        </w:rPr>
        <w:t xml:space="preserve">What the Socratic Method contributes to framework design: </w:t>
      </w:r>
      <w:r>
        <w:rPr>
          <w:rFonts w:ascii="Georgia" w:cs="Georgia" w:eastAsia="Georgia" w:hAnsi="Georgia"/>
          <w:b w:val="false"/>
          <w:bCs w:val="false"/>
          <w:i w:val="false"/>
          <w:iCs w:val="false"/>
          <w:color w:val="000000"/>
          <w:sz w:val="22"/>
          <w:szCs w:val="22"/>
        </w:rPr>
        <w:t xml:space="preserve">The centrality of the question; the idea that confusion is productive rather than a sign of failure; the teacher as guide rather than oracle; and the recognition that learners must be active participants in constructing their own understanding.</w:t>
      </w:r>
    </w:p>
    <w:p>
      <w:pPr>
        <w:pStyle w:val="Heading2"/>
        <w:spacing w:after="120" w:before="360"/>
      </w:pPr>
      <w:r>
        <w:rPr>
          <w:rFonts w:ascii="Georgia" w:cs="Georgia" w:eastAsia="Georgia" w:hAnsi="Georgia"/>
          <w:b/>
          <w:bCs/>
          <w:color w:val="1A2A4A"/>
          <w:sz w:val="28"/>
          <w:szCs w:val="28"/>
        </w:rPr>
        <w:t xml:space="preserve">2.2 Bloom's Taxonomy of Educational Objectives (1956; revised 2001)</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2439"/>
        <w:gridCol w:w="6270"/>
      </w:tblGrid>
      <w:tr>
        <w:tc>
          <w:tcPr>
            <w:tcW w:type="dxa" w:w="2439"/>
            <w:tcBorders>
              <w:top w:val="none" w:color="FFFFFF" w:sz="0"/>
              <w:left w:val="none" w:color="FFFFFF" w:sz="0"/>
              <w:bottom w:val="none" w:color="FFFFFF" w:sz="0"/>
              <w:right w:val="none" w:color="FFFFFF" w:sz="0"/>
            </w:tcBorders>
            <w:shd w:fill="B85C00" w:val="clear"/>
            <w:tcMar>
              <w:top w:type="dxa" w:w="80"/>
              <w:left w:type="dxa" w:w="160"/>
              <w:bottom w:type="dxa" w:w="80"/>
              <w:right w:type="dxa" w:w="160"/>
            </w:tcMar>
          </w:tcPr>
          <w:p>
            <w:r>
              <w:rPr>
                <w:rFonts w:ascii="Georgia" w:cs="Georgia" w:eastAsia="Georgia" w:hAnsi="Georgia"/>
                <w:b/>
                <w:bCs/>
                <w:color w:val="FFFFFF"/>
                <w:sz w:val="18"/>
                <w:szCs w:val="18"/>
              </w:rPr>
              <w:t xml:space="preserve">Framework</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Bloom's Taxonomy</w:t>
            </w:r>
          </w:p>
        </w:tc>
      </w:tr>
      <w:tr>
        <w:tc>
          <w:tcPr>
            <w:tcW w:type="dxa" w:w="2439"/>
            <w:tcBorders>
              <w:top w:val="none" w:color="FFFFFF" w:sz="0"/>
              <w:left w:val="none" w:color="FFFFFF" w:sz="0"/>
              <w:bottom w:val="none" w:color="FFFFFF" w:sz="0"/>
              <w:right w:val="none" w:color="FFFFFF" w:sz="0"/>
            </w:tcBorders>
            <w:shd w:fill="B85C00" w:val="clear"/>
            <w:tcMar>
              <w:top w:type="dxa" w:w="80"/>
              <w:left w:type="dxa" w:w="160"/>
              <w:bottom w:type="dxa" w:w="80"/>
              <w:right w:type="dxa" w:w="160"/>
            </w:tcMar>
          </w:tcPr>
          <w:p>
            <w:r>
              <w:rPr>
                <w:rFonts w:ascii="Georgia" w:cs="Georgia" w:eastAsia="Georgia" w:hAnsi="Georgia"/>
                <w:b/>
                <w:bCs/>
                <w:color w:val="FFFFFF"/>
                <w:sz w:val="18"/>
                <w:szCs w:val="18"/>
              </w:rPr>
              <w:t xml:space="preserve">Origin</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Benjamin Bloom et al., University of Chicago, 1956; revised by Anderson &amp; Krathwohl, 2001</w:t>
            </w:r>
          </w:p>
        </w:tc>
      </w:tr>
      <w:tr>
        <w:tc>
          <w:tcPr>
            <w:tcW w:type="dxa" w:w="2439"/>
            <w:tcBorders>
              <w:top w:val="none" w:color="FFFFFF" w:sz="0"/>
              <w:left w:val="none" w:color="FFFFFF" w:sz="0"/>
              <w:bottom w:val="none" w:color="FFFFFF" w:sz="0"/>
              <w:right w:val="none" w:color="FFFFFF" w:sz="0"/>
            </w:tcBorders>
            <w:shd w:fill="B85C00" w:val="clear"/>
            <w:tcMar>
              <w:top w:type="dxa" w:w="80"/>
              <w:left w:type="dxa" w:w="160"/>
              <w:bottom w:type="dxa" w:w="80"/>
              <w:right w:type="dxa" w:w="160"/>
            </w:tcMar>
          </w:tcPr>
          <w:p>
            <w:r>
              <w:rPr>
                <w:rFonts w:ascii="Georgia" w:cs="Georgia" w:eastAsia="Georgia" w:hAnsi="Georgia"/>
                <w:b/>
                <w:bCs/>
                <w:color w:val="FFFFFF"/>
                <w:sz w:val="18"/>
                <w:szCs w:val="18"/>
              </w:rPr>
              <w:t xml:space="preserve">Home discipline</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All disciplines; universal application in curriculum design and assessment</w:t>
            </w:r>
          </w:p>
        </w:tc>
      </w:tr>
      <w:tr>
        <w:tc>
          <w:tcPr>
            <w:tcW w:type="dxa" w:w="2439"/>
            <w:tcBorders>
              <w:top w:val="none" w:color="FFFFFF" w:sz="0"/>
              <w:left w:val="none" w:color="FFFFFF" w:sz="0"/>
              <w:bottom w:val="none" w:color="FFFFFF" w:sz="0"/>
              <w:right w:val="none" w:color="FFFFFF" w:sz="0"/>
            </w:tcBorders>
            <w:shd w:fill="B85C00" w:val="clear"/>
            <w:tcMar>
              <w:top w:type="dxa" w:w="80"/>
              <w:left w:type="dxa" w:w="160"/>
              <w:bottom w:type="dxa" w:w="80"/>
              <w:right w:type="dxa" w:w="160"/>
            </w:tcMar>
          </w:tcPr>
          <w:p>
            <w:r>
              <w:rPr>
                <w:rFonts w:ascii="Georgia" w:cs="Georgia" w:eastAsia="Georgia" w:hAnsi="Georgia"/>
                <w:b/>
                <w:bCs/>
                <w:color w:val="FFFFFF"/>
                <w:sz w:val="18"/>
                <w:szCs w:val="18"/>
              </w:rPr>
              <w:t xml:space="preserve">Core logic</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Cognitive tasks can be arranged in a hierarchy of increasing complexity, from recall to creation</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In 1956, Benjamin Bloom and a committee of educational psychologists published the Taxonomy of Educational Objectives: The Classification of Educational Goals — Handbook I: Cognitive Domain. The ambition was both modest and transformative: to create a shared vocabulary for describing what we expect students to be able to do, organised by the level of cognitive demand involved. The original taxonomy arranged six cognitive operations in ascending order of complexity: Knowledge, Comprehension, Application, Analysis, Synthesis, and Evaluation.</w:t>
      </w:r>
    </w:p>
    <w:p>
      <w:pPr>
        <w:spacing w:after="160" w:before="0"/>
        <w:jc w:val="both"/>
      </w:pPr>
      <w:r>
        <w:rPr>
          <w:rFonts w:ascii="Georgia" w:cs="Georgia" w:eastAsia="Georgia" w:hAnsi="Georgia"/>
          <w:b w:val="false"/>
          <w:bCs w:val="false"/>
          <w:i w:val="false"/>
          <w:iCs w:val="false"/>
          <w:color w:val="000000"/>
          <w:sz w:val="22"/>
          <w:szCs w:val="22"/>
        </w:rPr>
        <w:t xml:space="preserve">In 2001, Lorin Anderson and David Krathwohl — one of Bloom's original collaborators — published a revised taxonomy that made two significant changes. The static nouns of the original (Knowledge, Comprehension, and so on) became verbs (Remember, Understand, Apply, Analyse, Evaluate, Create), reflecting the insight that cognitive processes are active rather than passive. The order of the two highest levels was also reversed, placing Create above Evaluate — on the grounds that generating something new represents a more demanding cognitive achievement than judging an existing thing.</w:t>
      </w:r>
    </w:p>
    <w:p>
      <w:pPr>
        <w:spacing w:after="160" w:before="0"/>
        <w:jc w:val="both"/>
      </w:pPr>
      <w:r>
        <w:rPr>
          <w:rFonts w:ascii="Georgia" w:cs="Georgia" w:eastAsia="Georgia" w:hAnsi="Georgia"/>
          <w:b w:val="false"/>
          <w:bCs w:val="false"/>
          <w:i w:val="false"/>
          <w:iCs w:val="false"/>
          <w:color w:val="000000"/>
          <w:sz w:val="22"/>
          <w:szCs w:val="22"/>
        </w:rPr>
        <w:t xml:space="preserve">The revised taxonomy has become one of the most widely used tools in curriculum design worldwide. Its influence is visible in every syllabus that distinguishes between 'describe' and 'analyse', in every assessment rubric that rewards synthesis over recall, and in every lesson sequence that moves deliberately from lower-order to higher-order thinking. It is also visible in the design of QUEST, which maps neatly onto the taxonomy: Unpack corresponds to Remember and Understand; Examine to Analyse and Evaluate; and Synthesise to Create.</w:t>
      </w:r>
    </w:p>
    <w:p>
      <w:pPr>
        <w:spacing w:after="160" w:before="0"/>
        <w:jc w:val="both"/>
      </w:pPr>
      <w:r>
        <w:rPr>
          <w:rFonts w:ascii="Georgia" w:cs="Georgia" w:eastAsia="Georgia" w:hAnsi="Georgia"/>
          <w:b/>
          <w:bCs/>
          <w:i w:val="false"/>
          <w:iCs w:val="false"/>
          <w:color w:val="000000"/>
          <w:sz w:val="22"/>
          <w:szCs w:val="22"/>
        </w:rPr>
        <w:t xml:space="preserve">What Bloom's Taxonomy contributes to framework design: </w:t>
      </w:r>
      <w:r>
        <w:rPr>
          <w:rFonts w:ascii="Georgia" w:cs="Georgia" w:eastAsia="Georgia" w:hAnsi="Georgia"/>
          <w:b w:val="false"/>
          <w:bCs w:val="false"/>
          <w:i w:val="false"/>
          <w:iCs w:val="false"/>
          <w:color w:val="000000"/>
          <w:sz w:val="22"/>
          <w:szCs w:val="22"/>
        </w:rPr>
        <w:t xml:space="preserve">The hierarchy of cognitive demand; the distinction between surface knowledge and deep understanding; the language of verbs (analyse, evaluate, construct) that structures task design; and the principle that higher-order thinking must be explicitly taught and scaffolded, not assumed.</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A syllabus that only asks students to 'identify' and 'describe' is not teaching them to think. It is teaching them to remember. The distance between these two things is the distance between education and training.</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2.3 Constructivism: Piaget, Vygotsky, and the Learner as Builder</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2439"/>
        <w:gridCol w:w="6270"/>
      </w:tblGrid>
      <w:tr>
        <w:tc>
          <w:tcPr>
            <w:tcW w:type="dxa" w:w="2439"/>
            <w:tcBorders>
              <w:top w:val="none" w:color="FFFFFF" w:sz="0"/>
              <w:left w:val="none" w:color="FFFFFF" w:sz="0"/>
              <w:bottom w:val="none" w:color="FFFFFF" w:sz="0"/>
              <w:right w:val="none" w:color="FFFFFF" w:sz="0"/>
            </w:tcBorders>
            <w:shd w:fill="1F7A6E" w:val="clear"/>
            <w:tcMar>
              <w:top w:type="dxa" w:w="80"/>
              <w:left w:type="dxa" w:w="160"/>
              <w:bottom w:type="dxa" w:w="80"/>
              <w:right w:type="dxa" w:w="160"/>
            </w:tcMar>
          </w:tcPr>
          <w:p>
            <w:r>
              <w:rPr>
                <w:rFonts w:ascii="Georgia" w:cs="Georgia" w:eastAsia="Georgia" w:hAnsi="Georgia"/>
                <w:b/>
                <w:bCs/>
                <w:color w:val="FFFFFF"/>
                <w:sz w:val="18"/>
                <w:szCs w:val="18"/>
              </w:rPr>
              <w:t xml:space="preserve">Framework</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Constructivism (Cognitive and Social)</w:t>
            </w:r>
          </w:p>
        </w:tc>
      </w:tr>
      <w:tr>
        <w:tc>
          <w:tcPr>
            <w:tcW w:type="dxa" w:w="2439"/>
            <w:tcBorders>
              <w:top w:val="none" w:color="FFFFFF" w:sz="0"/>
              <w:left w:val="none" w:color="FFFFFF" w:sz="0"/>
              <w:bottom w:val="none" w:color="FFFFFF" w:sz="0"/>
              <w:right w:val="none" w:color="FFFFFF" w:sz="0"/>
            </w:tcBorders>
            <w:shd w:fill="1F7A6E" w:val="clear"/>
            <w:tcMar>
              <w:top w:type="dxa" w:w="80"/>
              <w:left w:type="dxa" w:w="160"/>
              <w:bottom w:type="dxa" w:w="80"/>
              <w:right w:type="dxa" w:w="160"/>
            </w:tcMar>
          </w:tcPr>
          <w:p>
            <w:r>
              <w:rPr>
                <w:rFonts w:ascii="Georgia" w:cs="Georgia" w:eastAsia="Georgia" w:hAnsi="Georgia"/>
                <w:b/>
                <w:bCs/>
                <w:color w:val="FFFFFF"/>
                <w:sz w:val="18"/>
                <w:szCs w:val="18"/>
              </w:rPr>
              <w:t xml:space="preserve">Origin</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Jean Piaget (1920s–1970s); Lev Vygotsky (1920s–1930s, translated and widely circulated from the 1960s)</w:t>
            </w:r>
          </w:p>
        </w:tc>
      </w:tr>
      <w:tr>
        <w:tc>
          <w:tcPr>
            <w:tcW w:type="dxa" w:w="2439"/>
            <w:tcBorders>
              <w:top w:val="none" w:color="FFFFFF" w:sz="0"/>
              <w:left w:val="none" w:color="FFFFFF" w:sz="0"/>
              <w:bottom w:val="none" w:color="FFFFFF" w:sz="0"/>
              <w:right w:val="none" w:color="FFFFFF" w:sz="0"/>
            </w:tcBorders>
            <w:shd w:fill="1F7A6E" w:val="clear"/>
            <w:tcMar>
              <w:top w:type="dxa" w:w="80"/>
              <w:left w:type="dxa" w:w="160"/>
              <w:bottom w:type="dxa" w:w="80"/>
              <w:right w:type="dxa" w:w="160"/>
            </w:tcMar>
          </w:tcPr>
          <w:p>
            <w:r>
              <w:rPr>
                <w:rFonts w:ascii="Georgia" w:cs="Georgia" w:eastAsia="Georgia" w:hAnsi="Georgia"/>
                <w:b/>
                <w:bCs/>
                <w:color w:val="FFFFFF"/>
                <w:sz w:val="18"/>
                <w:szCs w:val="18"/>
              </w:rPr>
              <w:t xml:space="preserve">Home discipline</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Psychology and education broadly; highly influential in primary and secondary curriculum design</w:t>
            </w:r>
          </w:p>
        </w:tc>
      </w:tr>
      <w:tr>
        <w:tc>
          <w:tcPr>
            <w:tcW w:type="dxa" w:w="2439"/>
            <w:tcBorders>
              <w:top w:val="none" w:color="FFFFFF" w:sz="0"/>
              <w:left w:val="none" w:color="FFFFFF" w:sz="0"/>
              <w:bottom w:val="none" w:color="FFFFFF" w:sz="0"/>
              <w:right w:val="none" w:color="FFFFFF" w:sz="0"/>
            </w:tcBorders>
            <w:shd w:fill="1F7A6E" w:val="clear"/>
            <w:tcMar>
              <w:top w:type="dxa" w:w="80"/>
              <w:left w:type="dxa" w:w="160"/>
              <w:bottom w:type="dxa" w:w="80"/>
              <w:right w:type="dxa" w:w="160"/>
            </w:tcMar>
          </w:tcPr>
          <w:p>
            <w:r>
              <w:rPr>
                <w:rFonts w:ascii="Georgia" w:cs="Georgia" w:eastAsia="Georgia" w:hAnsi="Georgia"/>
                <w:b/>
                <w:bCs/>
                <w:color w:val="FFFFFF"/>
                <w:sz w:val="18"/>
                <w:szCs w:val="18"/>
              </w:rPr>
              <w:t xml:space="preserve">Core logic</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Learners do not passively receive knowledge; they actively construct understanding by connecting new experience to existing mental frameworks</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If Bloom's Taxonomy describes what students should be able to do, constructivism offers a theory of how they come to be able to do it. Jean Piaget and Lev Vygotsky, working independently and in different intellectual traditions, both arrived at a fundamental insight: learning is not a process of filling an empty vessel with information, but a process of building — of connecting new experiences to existing mental structures (what Piaget called 'schemata'), and sometimes reorganising those structures when new experience cannot be assimilated into them.</w:t>
      </w:r>
    </w:p>
    <w:p>
      <w:pPr>
        <w:spacing w:after="160" w:before="0"/>
        <w:jc w:val="both"/>
      </w:pPr>
      <w:r>
        <w:rPr>
          <w:rFonts w:ascii="Georgia" w:cs="Georgia" w:eastAsia="Georgia" w:hAnsi="Georgia"/>
          <w:b w:val="false"/>
          <w:bCs w:val="false"/>
          <w:i w:val="false"/>
          <w:iCs w:val="false"/>
          <w:color w:val="000000"/>
          <w:sz w:val="22"/>
          <w:szCs w:val="22"/>
        </w:rPr>
        <w:t xml:space="preserve">Piaget's contribution was the mechanism of cognitive development: assimilation (fitting new information into existing schemata) and accommodation (revising schemata when new information cannot be assimilated). His stage theory of child development has been extensively revised, but the underlying insight — that learners are active meaning-makers, not passive recipients — has become foundational to educational theory.</w:t>
      </w:r>
    </w:p>
    <w:p>
      <w:pPr>
        <w:spacing w:after="160" w:before="0"/>
        <w:jc w:val="both"/>
      </w:pPr>
      <w:r>
        <w:rPr>
          <w:rFonts w:ascii="Georgia" w:cs="Georgia" w:eastAsia="Georgia" w:hAnsi="Georgia"/>
          <w:b w:val="false"/>
          <w:bCs w:val="false"/>
          <w:i w:val="false"/>
          <w:iCs w:val="false"/>
          <w:color w:val="000000"/>
          <w:sz w:val="22"/>
          <w:szCs w:val="22"/>
        </w:rPr>
        <w:t xml:space="preserve">Vygotsky's contribution was the social dimension of learning. His concept of the Zone of Proximal Development (ZPD) — the gap between what a learner can do independently and what they can do with skilled support — fundamentally reorients the role of the teacher. Vygotsky showed that learning is not a solitary act: it happens in the interaction between the learner and a more knowledgeable other (a teacher, a peer, a text). The teacher's job is not to explain what students could discover themselves, but to scaffold — to provide structured support that allows students to operate within their ZPD, gradually withdrawing that support as competence develops.</w:t>
      </w:r>
    </w:p>
    <w:p>
      <w:pPr>
        <w:spacing w:after="160" w:before="0"/>
        <w:jc w:val="both"/>
      </w:pPr>
      <w:r>
        <w:rPr>
          <w:rFonts w:ascii="Georgia" w:cs="Georgia" w:eastAsia="Georgia" w:hAnsi="Georgia"/>
          <w:b/>
          <w:bCs/>
          <w:i w:val="false"/>
          <w:iCs w:val="false"/>
          <w:color w:val="000000"/>
          <w:sz w:val="22"/>
          <w:szCs w:val="22"/>
        </w:rPr>
        <w:t xml:space="preserve">What constructivism contributes to framework design: </w:t>
      </w:r>
      <w:r>
        <w:rPr>
          <w:rFonts w:ascii="Georgia" w:cs="Georgia" w:eastAsia="Georgia" w:hAnsi="Georgia"/>
          <w:b w:val="false"/>
          <w:bCs w:val="false"/>
          <w:i w:val="false"/>
          <w:iCs w:val="false"/>
          <w:color w:val="000000"/>
          <w:sz w:val="22"/>
          <w:szCs w:val="22"/>
        </w:rPr>
        <w:t xml:space="preserve">The idea of prior knowledge activation (students need to connect new learning to what they already know); the scaffolding principle (structured support for tasks at the edge of current competence); the social dimension of learning (dialogue, discussion, and collaborative inquiry as cognitive tools); and the recognition that understanding must be constructed, not transmitted.</w:t>
      </w:r>
    </w:p>
    <w:p>
      <w:pPr>
        <w:pStyle w:val="Heading2"/>
        <w:spacing w:after="120" w:before="360"/>
      </w:pPr>
      <w:r>
        <w:rPr>
          <w:rFonts w:ascii="Georgia" w:cs="Georgia" w:eastAsia="Georgia" w:hAnsi="Georgia"/>
          <w:b/>
          <w:bCs/>
          <w:color w:val="1A2A4A"/>
          <w:sz w:val="28"/>
          <w:szCs w:val="28"/>
        </w:rPr>
        <w:t xml:space="preserve">2.4 The 5E Instructional Model (Bybee, 1987)</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2439"/>
        <w:gridCol w:w="6270"/>
      </w:tblGrid>
      <w:tr>
        <w:tc>
          <w:tcPr>
            <w:tcW w:type="dxa" w:w="2439"/>
            <w:tcBorders>
              <w:top w:val="none" w:color="FFFFFF" w:sz="0"/>
              <w:left w:val="none" w:color="FFFFFF" w:sz="0"/>
              <w:bottom w:val="none" w:color="FFFFFF" w:sz="0"/>
              <w:right w:val="none" w:color="FFFFFF" w:sz="0"/>
            </w:tcBorders>
            <w:shd w:fill="1A6B52" w:val="clear"/>
            <w:tcMar>
              <w:top w:type="dxa" w:w="80"/>
              <w:left w:type="dxa" w:w="160"/>
              <w:bottom w:type="dxa" w:w="80"/>
              <w:right w:type="dxa" w:w="160"/>
            </w:tcMar>
          </w:tcPr>
          <w:p>
            <w:r>
              <w:rPr>
                <w:rFonts w:ascii="Georgia" w:cs="Georgia" w:eastAsia="Georgia" w:hAnsi="Georgia"/>
                <w:b/>
                <w:bCs/>
                <w:color w:val="FFFFFF"/>
                <w:sz w:val="18"/>
                <w:szCs w:val="18"/>
              </w:rPr>
              <w:t xml:space="preserve">Framework</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The 5E Instructional Model</w:t>
            </w:r>
          </w:p>
        </w:tc>
      </w:tr>
      <w:tr>
        <w:tc>
          <w:tcPr>
            <w:tcW w:type="dxa" w:w="2439"/>
            <w:tcBorders>
              <w:top w:val="none" w:color="FFFFFF" w:sz="0"/>
              <w:left w:val="none" w:color="FFFFFF" w:sz="0"/>
              <w:bottom w:val="none" w:color="FFFFFF" w:sz="0"/>
              <w:right w:val="none" w:color="FFFFFF" w:sz="0"/>
            </w:tcBorders>
            <w:shd w:fill="1A6B52" w:val="clear"/>
            <w:tcMar>
              <w:top w:type="dxa" w:w="80"/>
              <w:left w:type="dxa" w:w="160"/>
              <w:bottom w:type="dxa" w:w="80"/>
              <w:right w:type="dxa" w:w="160"/>
            </w:tcMar>
          </w:tcPr>
          <w:p>
            <w:r>
              <w:rPr>
                <w:rFonts w:ascii="Georgia" w:cs="Georgia" w:eastAsia="Georgia" w:hAnsi="Georgia"/>
                <w:b/>
                <w:bCs/>
                <w:color w:val="FFFFFF"/>
                <w:sz w:val="18"/>
                <w:szCs w:val="18"/>
              </w:rPr>
              <w:t xml:space="preserve">Origin</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Rodger Bybee and colleagues, Biological Sciences Curriculum Study (BSCS), 1987; widely adopted in Australian science curricula from the 1990s</w:t>
            </w:r>
          </w:p>
        </w:tc>
      </w:tr>
      <w:tr>
        <w:tc>
          <w:tcPr>
            <w:tcW w:type="dxa" w:w="2439"/>
            <w:tcBorders>
              <w:top w:val="none" w:color="FFFFFF" w:sz="0"/>
              <w:left w:val="none" w:color="FFFFFF" w:sz="0"/>
              <w:bottom w:val="none" w:color="FFFFFF" w:sz="0"/>
              <w:right w:val="none" w:color="FFFFFF" w:sz="0"/>
            </w:tcBorders>
            <w:shd w:fill="1A6B52" w:val="clear"/>
            <w:tcMar>
              <w:top w:type="dxa" w:w="80"/>
              <w:left w:type="dxa" w:w="160"/>
              <w:bottom w:type="dxa" w:w="80"/>
              <w:right w:type="dxa" w:w="160"/>
            </w:tcMar>
          </w:tcPr>
          <w:p>
            <w:r>
              <w:rPr>
                <w:rFonts w:ascii="Georgia" w:cs="Georgia" w:eastAsia="Georgia" w:hAnsi="Georgia"/>
                <w:b/>
                <w:bCs/>
                <w:color w:val="FFFFFF"/>
                <w:sz w:val="18"/>
                <w:szCs w:val="18"/>
              </w:rPr>
              <w:t xml:space="preserve">Home discipline</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Science education (now widely adapted across disciplines)</w:t>
            </w:r>
          </w:p>
        </w:tc>
      </w:tr>
      <w:tr>
        <w:tc>
          <w:tcPr>
            <w:tcW w:type="dxa" w:w="2439"/>
            <w:tcBorders>
              <w:top w:val="none" w:color="FFFFFF" w:sz="0"/>
              <w:left w:val="none" w:color="FFFFFF" w:sz="0"/>
              <w:bottom w:val="none" w:color="FFFFFF" w:sz="0"/>
              <w:right w:val="none" w:color="FFFFFF" w:sz="0"/>
            </w:tcBorders>
            <w:shd w:fill="1A6B52" w:val="clear"/>
            <w:tcMar>
              <w:top w:type="dxa" w:w="80"/>
              <w:left w:type="dxa" w:w="160"/>
              <w:bottom w:type="dxa" w:w="80"/>
              <w:right w:type="dxa" w:w="160"/>
            </w:tcMar>
          </w:tcPr>
          <w:p>
            <w:r>
              <w:rPr>
                <w:rFonts w:ascii="Georgia" w:cs="Georgia" w:eastAsia="Georgia" w:hAnsi="Georgia"/>
                <w:b/>
                <w:bCs/>
                <w:color w:val="FFFFFF"/>
                <w:sz w:val="18"/>
                <w:szCs w:val="18"/>
              </w:rPr>
              <w:t xml:space="preserve">Core logic</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Effective inquiry learning moves through five stages: Engage, Explore, Explain, Elaborate, Evaluate</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The 5E model is the framework most frequently cited as the inspiration for QUEST, and it deserves careful attention both for what it gets right and for the ways in which humanities inquiry requires a different architecture. Developed by Rodger Bybee and colleagues at the Biological Sciences Curriculum Study (BSCS), the 5E model was designed to operationalise constructivist principles in the science classroom — to give teachers a practical sequence for inquiry-based science learning that moved students from curiosity to understanding through structured exploration.</w:t>
      </w:r>
    </w:p>
    <w:p>
      <w:pPr>
        <w:spacing w:after="160" w:before="0"/>
        <w:jc w:val="both"/>
      </w:pPr>
      <w:r>
        <w:rPr>
          <w:rFonts w:ascii="Georgia" w:cs="Georgia" w:eastAsia="Georgia" w:hAnsi="Georgia"/>
          <w:b w:val="false"/>
          <w:bCs w:val="false"/>
          <w:i w:val="false"/>
          <w:iCs w:val="false"/>
          <w:color w:val="000000"/>
          <w:sz w:val="22"/>
          <w:szCs w:val="22"/>
        </w:rPr>
        <w:t xml:space="preserve">The five stages are Engage (capturing student interest and activating prior knowledge), Explore (hands-on investigation with minimal teacher direction), Explain (the teacher or text provides conceptual explanation), Elaborate (students apply and extend their understanding), and Evaluate (ongoing assessment of student understanding). The model is elegant in its simplicity and powerful in its alignment with the science inquiry process: it mirrors the structure of scientific investigation — question, hypothesise, test, explain, generalise.</w:t>
      </w:r>
    </w:p>
    <w:p>
      <w:pPr>
        <w:spacing w:after="160" w:before="0"/>
        <w:jc w:val="both"/>
      </w:pPr>
      <w:r>
        <w:rPr>
          <w:rFonts w:ascii="Georgia" w:cs="Georgia" w:eastAsia="Georgia" w:hAnsi="Georgia"/>
          <w:b w:val="false"/>
          <w:bCs w:val="false"/>
          <w:i w:val="false"/>
          <w:iCs w:val="false"/>
          <w:color w:val="000000"/>
          <w:sz w:val="22"/>
          <w:szCs w:val="22"/>
        </w:rPr>
        <w:t xml:space="preserve">The 5E model has been enormously influential in Australian education, particularly following its adoption in state and federal science curricula from the 1990s onwards. Its success prompted educators in other disciplines to ask: what would a parallel framework look like for history, or economics, or philosophy? That question is one of the generative pressures behind the development of QUEST.</w:t>
      </w:r>
    </w:p>
    <w:p>
      <w:pPr>
        <w:spacing w:after="160" w:before="0"/>
        <w:jc w:val="both"/>
      </w:pPr>
      <w:r>
        <w:rPr>
          <w:rFonts w:ascii="Georgia" w:cs="Georgia" w:eastAsia="Georgia" w:hAnsi="Georgia"/>
          <w:b w:val="false"/>
          <w:bCs w:val="false"/>
          <w:i w:val="false"/>
          <w:iCs w:val="false"/>
          <w:color w:val="000000"/>
          <w:sz w:val="22"/>
          <w:szCs w:val="22"/>
        </w:rPr>
        <w:t xml:space="preserve">The key difference between the 5E model and QUEST is not structural but epistemological. Science inquiry moves toward explanation — toward discovering or confirming how the natural world works. Humanities inquiry moves toward argument — toward constructing and defending an interpretation of human experience. In science, a good Explain phase delivers a mechanism (photosynthesis works because...). In humanities, a good Synthesise phase delivers a position (Weimar Germany collapsed because... and here is the evidence). The difference matters for how each stage is designed and what counts as success within it.</w:t>
      </w:r>
    </w:p>
    <w:p>
      <w:pPr>
        <w:spacing w:after="160" w:before="0"/>
        <w:jc w:val="both"/>
      </w:pPr>
      <w:r>
        <w:rPr>
          <w:rFonts w:ascii="Georgia" w:cs="Georgia" w:eastAsia="Georgia" w:hAnsi="Georgia"/>
          <w:b/>
          <w:bCs/>
          <w:i w:val="false"/>
          <w:iCs w:val="false"/>
          <w:color w:val="000000"/>
          <w:sz w:val="22"/>
          <w:szCs w:val="22"/>
        </w:rPr>
        <w:t xml:space="preserve">What the 5E Model contributes to framework design: </w:t>
      </w:r>
      <w:r>
        <w:rPr>
          <w:rFonts w:ascii="Georgia" w:cs="Georgia" w:eastAsia="Georgia" w:hAnsi="Georgia"/>
          <w:b w:val="false"/>
          <w:bCs w:val="false"/>
          <w:i w:val="false"/>
          <w:iCs w:val="false"/>
          <w:color w:val="000000"/>
          <w:sz w:val="22"/>
          <w:szCs w:val="22"/>
        </w:rPr>
        <w:t xml:space="preserve">The idea of a five-stage inquiry sequence; the priority of student engagement and curiosity before explanation; the distinction between exploration and elaboration; and the proof-of-concept that a single framework can provide consistent architecture across a diverse range of content without reducing that content to a formula.</w:t>
      </w:r>
    </w:p>
    <w:p>
      <w:pPr>
        <w:pStyle w:val="Heading2"/>
        <w:spacing w:after="120" w:before="360"/>
      </w:pPr>
      <w:r>
        <w:rPr>
          <w:rFonts w:ascii="Georgia" w:cs="Georgia" w:eastAsia="Georgia" w:hAnsi="Georgia"/>
          <w:b/>
          <w:bCs/>
          <w:color w:val="1A2A4A"/>
          <w:sz w:val="28"/>
          <w:szCs w:val="28"/>
        </w:rPr>
        <w:t xml:space="preserve">2.5 Understanding by Design and Backward Design (Wiggins &amp; McTighe, 1998)</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2439"/>
        <w:gridCol w:w="6270"/>
      </w:tblGrid>
      <w:tr>
        <w:tc>
          <w:tcPr>
            <w:tcW w:type="dxa" w:w="2439"/>
            <w:tcBorders>
              <w:top w:val="none" w:color="FFFFFF" w:sz="0"/>
              <w:left w:val="none" w:color="FFFFFF" w:sz="0"/>
              <w:bottom w:val="none" w:color="FFFFFF" w:sz="0"/>
              <w:right w:val="none" w:color="FFFFFF" w:sz="0"/>
            </w:tcBorders>
            <w:shd w:fill="7B2D8B" w:val="clear"/>
            <w:tcMar>
              <w:top w:type="dxa" w:w="80"/>
              <w:left w:type="dxa" w:w="160"/>
              <w:bottom w:type="dxa" w:w="80"/>
              <w:right w:type="dxa" w:w="160"/>
            </w:tcMar>
          </w:tcPr>
          <w:p>
            <w:r>
              <w:rPr>
                <w:rFonts w:ascii="Georgia" w:cs="Georgia" w:eastAsia="Georgia" w:hAnsi="Georgia"/>
                <w:b/>
                <w:bCs/>
                <w:color w:val="FFFFFF"/>
                <w:sz w:val="18"/>
                <w:szCs w:val="18"/>
              </w:rPr>
              <w:t xml:space="preserve">Framework</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Understanding by Design (UbD) / Backward Design</w:t>
            </w:r>
          </w:p>
        </w:tc>
      </w:tr>
      <w:tr>
        <w:tc>
          <w:tcPr>
            <w:tcW w:type="dxa" w:w="2439"/>
            <w:tcBorders>
              <w:top w:val="none" w:color="FFFFFF" w:sz="0"/>
              <w:left w:val="none" w:color="FFFFFF" w:sz="0"/>
              <w:bottom w:val="none" w:color="FFFFFF" w:sz="0"/>
              <w:right w:val="none" w:color="FFFFFF" w:sz="0"/>
            </w:tcBorders>
            <w:shd w:fill="7B2D8B" w:val="clear"/>
            <w:tcMar>
              <w:top w:type="dxa" w:w="80"/>
              <w:left w:type="dxa" w:w="160"/>
              <w:bottom w:type="dxa" w:w="80"/>
              <w:right w:type="dxa" w:w="160"/>
            </w:tcMar>
          </w:tcPr>
          <w:p>
            <w:r>
              <w:rPr>
                <w:rFonts w:ascii="Georgia" w:cs="Georgia" w:eastAsia="Georgia" w:hAnsi="Georgia"/>
                <w:b/>
                <w:bCs/>
                <w:color w:val="FFFFFF"/>
                <w:sz w:val="18"/>
                <w:szCs w:val="18"/>
              </w:rPr>
              <w:t xml:space="preserve">Origin</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Grant Wiggins and Jay McTighe, 1998; second edition 2005</w:t>
            </w:r>
          </w:p>
        </w:tc>
      </w:tr>
      <w:tr>
        <w:tc>
          <w:tcPr>
            <w:tcW w:type="dxa" w:w="2439"/>
            <w:tcBorders>
              <w:top w:val="none" w:color="FFFFFF" w:sz="0"/>
              <w:left w:val="none" w:color="FFFFFF" w:sz="0"/>
              <w:bottom w:val="none" w:color="FFFFFF" w:sz="0"/>
              <w:right w:val="none" w:color="FFFFFF" w:sz="0"/>
            </w:tcBorders>
            <w:shd w:fill="7B2D8B" w:val="clear"/>
            <w:tcMar>
              <w:top w:type="dxa" w:w="80"/>
              <w:left w:type="dxa" w:w="160"/>
              <w:bottom w:type="dxa" w:w="80"/>
              <w:right w:type="dxa" w:w="160"/>
            </w:tcMar>
          </w:tcPr>
          <w:p>
            <w:r>
              <w:rPr>
                <w:rFonts w:ascii="Georgia" w:cs="Georgia" w:eastAsia="Georgia" w:hAnsi="Georgia"/>
                <w:b/>
                <w:bCs/>
                <w:color w:val="FFFFFF"/>
                <w:sz w:val="18"/>
                <w:szCs w:val="18"/>
              </w:rPr>
              <w:t xml:space="preserve">Home discipline</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All disciplines; particularly influential in curriculum planning and assessment design</w:t>
            </w:r>
          </w:p>
        </w:tc>
      </w:tr>
      <w:tr>
        <w:tc>
          <w:tcPr>
            <w:tcW w:type="dxa" w:w="2439"/>
            <w:tcBorders>
              <w:top w:val="none" w:color="FFFFFF" w:sz="0"/>
              <w:left w:val="none" w:color="FFFFFF" w:sz="0"/>
              <w:bottom w:val="none" w:color="FFFFFF" w:sz="0"/>
              <w:right w:val="none" w:color="FFFFFF" w:sz="0"/>
            </w:tcBorders>
            <w:shd w:fill="7B2D8B" w:val="clear"/>
            <w:tcMar>
              <w:top w:type="dxa" w:w="80"/>
              <w:left w:type="dxa" w:w="160"/>
              <w:bottom w:type="dxa" w:w="80"/>
              <w:right w:type="dxa" w:w="160"/>
            </w:tcMar>
          </w:tcPr>
          <w:p>
            <w:r>
              <w:rPr>
                <w:rFonts w:ascii="Georgia" w:cs="Georgia" w:eastAsia="Georgia" w:hAnsi="Georgia"/>
                <w:b/>
                <w:bCs/>
                <w:color w:val="FFFFFF"/>
                <w:sz w:val="18"/>
                <w:szCs w:val="18"/>
              </w:rPr>
              <w:t xml:space="preserve">Core logic</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Effective curriculum design begins with the end in mind: identify desired outcomes, then determine evidence of understanding, then plan learning experiences</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Grant Wiggins and Jay McTighe's Understanding by Design (UbD) represents a fundamental reorientation of the question that teachers typically ask when planning. Most teachers begin by asking: 'What will I teach?' UbD insists on a different starting point: 'What do I want students to understand, and how will I know when they do?' This apparently simple inversion — what Wiggins and McTighe call 'backward design' — has profound consequences for how lessons, units, and entire curricula are structured.</w:t>
      </w:r>
    </w:p>
    <w:p>
      <w:pPr>
        <w:spacing w:after="160" w:before="0"/>
        <w:jc w:val="both"/>
      </w:pPr>
      <w:r>
        <w:rPr>
          <w:rFonts w:ascii="Georgia" w:cs="Georgia" w:eastAsia="Georgia" w:hAnsi="Georgia"/>
          <w:b w:val="false"/>
          <w:bCs w:val="false"/>
          <w:i w:val="false"/>
          <w:iCs w:val="false"/>
          <w:color w:val="000000"/>
          <w:sz w:val="22"/>
          <w:szCs w:val="22"/>
        </w:rPr>
        <w:t xml:space="preserve">The UbD framework operates in three stages. Stage 1 asks teachers to identify desired results: not merely what content will be covered, but what enduring understandings students should carry forward — the big ideas and essential questions that give meaning to the specific content. Stage 2 asks teachers to determine acceptable evidence: what performance tasks and assessments will demonstrate that students have achieved the desired understandings? Stage 3, only then, asks teachers to plan learning experiences: what activities, resources, and instruction will enable students to achieve the outcomes identified in Stages 1 and 2?</w:t>
      </w:r>
    </w:p>
    <w:p>
      <w:pPr>
        <w:spacing w:after="160" w:before="0"/>
        <w:jc w:val="both"/>
      </w:pPr>
      <w:r>
        <w:rPr>
          <w:rFonts w:ascii="Georgia" w:cs="Georgia" w:eastAsia="Georgia" w:hAnsi="Georgia"/>
          <w:b w:val="false"/>
          <w:bCs w:val="false"/>
          <w:i w:val="false"/>
          <w:iCs w:val="false"/>
          <w:color w:val="000000"/>
          <w:sz w:val="22"/>
          <w:szCs w:val="22"/>
        </w:rPr>
        <w:t xml:space="preserve">The practical implication of backward design is that assessment is not an afterthought appended to learning — it is the lens through which the whole unit is designed. When a teacher has decided, at Stage 2, that students will demonstrate understanding by constructing a persuasive historical argument, that decision shapes everything that happens in Stage 3: the sources students read, the discussions they have, the writing practice they undertake. The assessment task becomes not a test of whether students absorbed the content, but the culminating performance through which they construct and demonstrate their understanding.</w:t>
      </w:r>
    </w:p>
    <w:p>
      <w:pPr>
        <w:spacing w:after="160" w:before="0"/>
        <w:jc w:val="both"/>
      </w:pPr>
      <w:r>
        <w:rPr>
          <w:rFonts w:ascii="Georgia" w:cs="Georgia" w:eastAsia="Georgia" w:hAnsi="Georgia"/>
          <w:b w:val="false"/>
          <w:bCs w:val="false"/>
          <w:i w:val="false"/>
          <w:iCs w:val="false"/>
          <w:color w:val="000000"/>
          <w:sz w:val="22"/>
          <w:szCs w:val="22"/>
        </w:rPr>
        <w:t xml:space="preserve">UbD also introduced the influential concept of the 'essential question' — a question that is open-ended, intellectually honest, and capable of generating sustained inquiry rather than a single correct answer. Examples include: 'How do we know what really happened in the past?' (Ancient History); 'When, if ever, is inequality just?' (Economics/Philosophy); 'What makes a place home?' (Geography). These questions sit at the heart of the Question stage in QUEST, and UbD's analysis of what makes a question genuinely essential is one of the intellectual sources of that stage.</w:t>
      </w:r>
    </w:p>
    <w:p>
      <w:pPr>
        <w:spacing w:after="160" w:before="0"/>
        <w:jc w:val="both"/>
      </w:pPr>
      <w:r>
        <w:rPr>
          <w:rFonts w:ascii="Georgia" w:cs="Georgia" w:eastAsia="Georgia" w:hAnsi="Georgia"/>
          <w:b/>
          <w:bCs/>
          <w:i w:val="false"/>
          <w:iCs w:val="false"/>
          <w:color w:val="000000"/>
          <w:sz w:val="22"/>
          <w:szCs w:val="22"/>
        </w:rPr>
        <w:t xml:space="preserve">What UbD contributes to framework design: </w:t>
      </w:r>
      <w:r>
        <w:rPr>
          <w:rFonts w:ascii="Georgia" w:cs="Georgia" w:eastAsia="Georgia" w:hAnsi="Georgia"/>
          <w:b w:val="false"/>
          <w:bCs w:val="false"/>
          <w:i w:val="false"/>
          <w:iCs w:val="false"/>
          <w:color w:val="000000"/>
          <w:sz w:val="22"/>
          <w:szCs w:val="22"/>
        </w:rPr>
        <w:t xml:space="preserve">The backward design principle (start with outcomes, design backwards); the concept of the essential question as a driver of sustained inquiry; the alignment between learning activities and assessment; and the distinction between coverage and understanding — between encountering content and genuinely grappling with it.</w:t>
      </w:r>
    </w:p>
    <w:p>
      <w:pPr>
        <w:pStyle w:val="Heading2"/>
        <w:spacing w:after="120" w:before="360"/>
      </w:pPr>
      <w:r>
        <w:rPr>
          <w:rFonts w:ascii="Georgia" w:cs="Georgia" w:eastAsia="Georgia" w:hAnsi="Georgia"/>
          <w:b/>
          <w:bCs/>
          <w:color w:val="1A2A4A"/>
          <w:sz w:val="28"/>
          <w:szCs w:val="28"/>
        </w:rPr>
        <w:t xml:space="preserve">2.6 The Gradual Release of Responsibility (Pearson &amp; Gallagher, 1983)</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2439"/>
        <w:gridCol w:w="6270"/>
      </w:tblGrid>
      <w:tr>
        <w:tc>
          <w:tcPr>
            <w:tcW w:type="dxa" w:w="2439"/>
            <w:tcBorders>
              <w:top w:val="none" w:color="FFFFFF" w:sz="0"/>
              <w:left w:val="none" w:color="FFFFFF" w:sz="0"/>
              <w:bottom w:val="none" w:color="FFFFFF" w:sz="0"/>
              <w:right w:val="none" w:color="FFFFFF" w:sz="0"/>
            </w:tcBorders>
            <w:shd w:fill="B85C00" w:val="clear"/>
            <w:tcMar>
              <w:top w:type="dxa" w:w="80"/>
              <w:left w:type="dxa" w:w="160"/>
              <w:bottom w:type="dxa" w:w="80"/>
              <w:right w:type="dxa" w:w="160"/>
            </w:tcMar>
          </w:tcPr>
          <w:p>
            <w:r>
              <w:rPr>
                <w:rFonts w:ascii="Georgia" w:cs="Georgia" w:eastAsia="Georgia" w:hAnsi="Georgia"/>
                <w:b/>
                <w:bCs/>
                <w:color w:val="FFFFFF"/>
                <w:sz w:val="18"/>
                <w:szCs w:val="18"/>
              </w:rPr>
              <w:t xml:space="preserve">Framework</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Gradual Release of Responsibility (GRR)</w:t>
            </w:r>
          </w:p>
        </w:tc>
      </w:tr>
      <w:tr>
        <w:tc>
          <w:tcPr>
            <w:tcW w:type="dxa" w:w="2439"/>
            <w:tcBorders>
              <w:top w:val="none" w:color="FFFFFF" w:sz="0"/>
              <w:left w:val="none" w:color="FFFFFF" w:sz="0"/>
              <w:bottom w:val="none" w:color="FFFFFF" w:sz="0"/>
              <w:right w:val="none" w:color="FFFFFF" w:sz="0"/>
            </w:tcBorders>
            <w:shd w:fill="B85C00" w:val="clear"/>
            <w:tcMar>
              <w:top w:type="dxa" w:w="80"/>
              <w:left w:type="dxa" w:w="160"/>
              <w:bottom w:type="dxa" w:w="80"/>
              <w:right w:type="dxa" w:w="160"/>
            </w:tcMar>
          </w:tcPr>
          <w:p>
            <w:r>
              <w:rPr>
                <w:rFonts w:ascii="Georgia" w:cs="Georgia" w:eastAsia="Georgia" w:hAnsi="Georgia"/>
                <w:b/>
                <w:bCs/>
                <w:color w:val="FFFFFF"/>
                <w:sz w:val="18"/>
                <w:szCs w:val="18"/>
              </w:rPr>
              <w:t xml:space="preserve">Origin</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P. David Pearson and Margaret Gallagher, 1983; extended by Douglas Fisher and Nancy Frey, 2008</w:t>
            </w:r>
          </w:p>
        </w:tc>
      </w:tr>
      <w:tr>
        <w:tc>
          <w:tcPr>
            <w:tcW w:type="dxa" w:w="2439"/>
            <w:tcBorders>
              <w:top w:val="none" w:color="FFFFFF" w:sz="0"/>
              <w:left w:val="none" w:color="FFFFFF" w:sz="0"/>
              <w:bottom w:val="none" w:color="FFFFFF" w:sz="0"/>
              <w:right w:val="none" w:color="FFFFFF" w:sz="0"/>
            </w:tcBorders>
            <w:shd w:fill="B85C00" w:val="clear"/>
            <w:tcMar>
              <w:top w:type="dxa" w:w="80"/>
              <w:left w:type="dxa" w:w="160"/>
              <w:bottom w:type="dxa" w:w="80"/>
              <w:right w:type="dxa" w:w="160"/>
            </w:tcMar>
          </w:tcPr>
          <w:p>
            <w:r>
              <w:rPr>
                <w:rFonts w:ascii="Georgia" w:cs="Georgia" w:eastAsia="Georgia" w:hAnsi="Georgia"/>
                <w:b/>
                <w:bCs/>
                <w:color w:val="FFFFFF"/>
                <w:sz w:val="18"/>
                <w:szCs w:val="18"/>
              </w:rPr>
              <w:t xml:space="preserve">Home discipline</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Literacy and reading instruction; now widely applied across all disciplines</w:t>
            </w:r>
          </w:p>
        </w:tc>
      </w:tr>
      <w:tr>
        <w:tc>
          <w:tcPr>
            <w:tcW w:type="dxa" w:w="2439"/>
            <w:tcBorders>
              <w:top w:val="none" w:color="FFFFFF" w:sz="0"/>
              <w:left w:val="none" w:color="FFFFFF" w:sz="0"/>
              <w:bottom w:val="none" w:color="FFFFFF" w:sz="0"/>
              <w:right w:val="none" w:color="FFFFFF" w:sz="0"/>
            </w:tcBorders>
            <w:shd w:fill="B85C00" w:val="clear"/>
            <w:tcMar>
              <w:top w:type="dxa" w:w="80"/>
              <w:left w:type="dxa" w:w="160"/>
              <w:bottom w:type="dxa" w:w="80"/>
              <w:right w:type="dxa" w:w="160"/>
            </w:tcMar>
          </w:tcPr>
          <w:p>
            <w:r>
              <w:rPr>
                <w:rFonts w:ascii="Georgia" w:cs="Georgia" w:eastAsia="Georgia" w:hAnsi="Georgia"/>
                <w:b/>
                <w:bCs/>
                <w:color w:val="FFFFFF"/>
                <w:sz w:val="18"/>
                <w:szCs w:val="18"/>
              </w:rPr>
              <w:t xml:space="preserve">Core logic</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Responsibility for a cognitive task transfers progressively from teacher to student through four stages: I Do, We Do Together, You Do Together, You Do Independently</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The Gradual Release of Responsibility (GRR) is, in some respects, the most practically influential framework in contemporary classroom teaching — not because it is the most theoretically sophisticated, but because it describes something that every effective teacher already does intuitively, and makes it explicit enough to replicate. Developed by P. David Pearson and Margaret Gallagher in the context of reading instruction, GRR was later extended and popularised by Douglas Fisher and Nancy Frey as a general instructional model.</w:t>
      </w:r>
    </w:p>
    <w:p>
      <w:pPr>
        <w:spacing w:after="160" w:before="0"/>
        <w:jc w:val="both"/>
      </w:pPr>
      <w:r>
        <w:rPr>
          <w:rFonts w:ascii="Georgia" w:cs="Georgia" w:eastAsia="Georgia" w:hAnsi="Georgia"/>
          <w:b w:val="false"/>
          <w:bCs w:val="false"/>
          <w:i w:val="false"/>
          <w:iCs w:val="false"/>
          <w:color w:val="000000"/>
          <w:sz w:val="22"/>
          <w:szCs w:val="22"/>
        </w:rPr>
        <w:t xml:space="preserve">The model describes four stages of responsibility transfer. In the 'I Do' stage (focused instruction), the teacher models the cognitive task — thinking aloud, demonstrating the process, making the invisible visible. In the 'We Do Together' stage (guided instruction), teacher and students work collaboratively, with the teacher providing scaffolding and strategic questioning. In the 'You Do Together' stage (collaborative learning), students work with peers on the task while the teacher circulates and supports. In the 'You Do Independently' stage (independent practice), students apply the learning without teacher support.</w:t>
      </w:r>
    </w:p>
    <w:p>
      <w:pPr>
        <w:spacing w:after="160" w:before="0"/>
        <w:jc w:val="both"/>
      </w:pPr>
      <w:r>
        <w:rPr>
          <w:rFonts w:ascii="Georgia" w:cs="Georgia" w:eastAsia="Georgia" w:hAnsi="Georgia"/>
          <w:b w:val="false"/>
          <w:bCs w:val="false"/>
          <w:i w:val="false"/>
          <w:iCs w:val="false"/>
          <w:color w:val="000000"/>
          <w:sz w:val="22"/>
          <w:szCs w:val="22"/>
        </w:rPr>
        <w:t xml:space="preserve">The key insight of GRR is that students are often asked to perform cognitive tasks independently before they have been adequately supported in developing the relevant strategies. A student asked to write an analytical essay without having seen what analysis looks like in practice is not being given an opportunity to demonstrate understanding — they are being set up to fail. GRR insists that the pathway to independence runs through explicit modelling and collaborative practice, not through sink-or-swim exposure.</w:t>
      </w:r>
    </w:p>
    <w:p>
      <w:pPr>
        <w:spacing w:after="160" w:before="0"/>
        <w:jc w:val="both"/>
      </w:pPr>
      <w:r>
        <w:rPr>
          <w:rFonts w:ascii="Georgia" w:cs="Georgia" w:eastAsia="Georgia" w:hAnsi="Georgia"/>
          <w:b w:val="false"/>
          <w:bCs w:val="false"/>
          <w:i w:val="false"/>
          <w:iCs w:val="false"/>
          <w:color w:val="000000"/>
          <w:sz w:val="22"/>
          <w:szCs w:val="22"/>
        </w:rPr>
        <w:t xml:space="preserve">In the context of QUEST, GRR operates at the level of the individual stage rather than the whole sequence. When teaching the Examine stage, for instance, a teacher might first model source analysis aloud (I Do), then work through a second source collaboratively with students (We Do), then set small groups to analyse a third source with guidance (You Do Together), before asking students to tackle a fourth source independently (You Do Independently). The framework thus operates within QUEST as a tool for scaffolding individual skills rather than as a rival to the overall inquiry structure.</w:t>
      </w:r>
    </w:p>
    <w:p>
      <w:pPr>
        <w:spacing w:after="160" w:before="0"/>
        <w:jc w:val="both"/>
      </w:pPr>
      <w:r>
        <w:rPr>
          <w:rFonts w:ascii="Georgia" w:cs="Georgia" w:eastAsia="Georgia" w:hAnsi="Georgia"/>
          <w:b/>
          <w:bCs/>
          <w:i w:val="false"/>
          <w:iCs w:val="false"/>
          <w:color w:val="000000"/>
          <w:sz w:val="22"/>
          <w:szCs w:val="22"/>
        </w:rPr>
        <w:t xml:space="preserve">What GRR contributes to framework design: </w:t>
      </w:r>
      <w:r>
        <w:rPr>
          <w:rFonts w:ascii="Georgia" w:cs="Georgia" w:eastAsia="Georgia" w:hAnsi="Georgia"/>
          <w:b w:val="false"/>
          <w:bCs w:val="false"/>
          <w:i w:val="false"/>
          <w:iCs w:val="false"/>
          <w:color w:val="000000"/>
          <w:sz w:val="22"/>
          <w:szCs w:val="22"/>
        </w:rPr>
        <w:t xml:space="preserve">The principle of scaffolded independence; the importance of modelling as the foundation of skill development; the recognition that collaborative learning is a distinct and necessary stage, not a substitute for either teacher instruction or independent work; and the insight that responsibility transfer is not automatic — it must be deliberately sequenced.</w:t>
      </w:r>
    </w:p>
    <w:p>
      <w:pPr>
        <w:pStyle w:val="Heading2"/>
        <w:spacing w:after="120" w:before="360"/>
      </w:pPr>
      <w:r>
        <w:rPr>
          <w:rFonts w:ascii="Georgia" w:cs="Georgia" w:eastAsia="Georgia" w:hAnsi="Georgia"/>
          <w:b/>
          <w:bCs/>
          <w:color w:val="1A2A4A"/>
          <w:sz w:val="28"/>
          <w:szCs w:val="28"/>
        </w:rPr>
        <w:t xml:space="preserve">2.7 Inquiry-Based Learning and Problem-Based Learning</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2439"/>
        <w:gridCol w:w="6270"/>
      </w:tblGrid>
      <w:tr>
        <w:tc>
          <w:tcPr>
            <w:tcW w:type="dxa" w:w="2439"/>
            <w:tcBorders>
              <w:top w:val="none" w:color="FFFFFF" w:sz="0"/>
              <w:left w:val="none" w:color="FFFFFF" w:sz="0"/>
              <w:bottom w:val="none" w:color="FFFFFF" w:sz="0"/>
              <w:right w:val="none" w:color="FFFFFF" w:sz="0"/>
            </w:tcBorders>
            <w:shd w:fill="1A6B52" w:val="clear"/>
            <w:tcMar>
              <w:top w:type="dxa" w:w="80"/>
              <w:left w:type="dxa" w:w="160"/>
              <w:bottom w:type="dxa" w:w="80"/>
              <w:right w:type="dxa" w:w="160"/>
            </w:tcMar>
          </w:tcPr>
          <w:p>
            <w:r>
              <w:rPr>
                <w:rFonts w:ascii="Georgia" w:cs="Georgia" w:eastAsia="Georgia" w:hAnsi="Georgia"/>
                <w:b/>
                <w:bCs/>
                <w:color w:val="FFFFFF"/>
                <w:sz w:val="18"/>
                <w:szCs w:val="18"/>
              </w:rPr>
              <w:t xml:space="preserve">Framework</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Inquiry-Based Learning (IBL) / Problem-Based Learning (PBL)</w:t>
            </w:r>
          </w:p>
        </w:tc>
      </w:tr>
      <w:tr>
        <w:tc>
          <w:tcPr>
            <w:tcW w:type="dxa" w:w="2439"/>
            <w:tcBorders>
              <w:top w:val="none" w:color="FFFFFF" w:sz="0"/>
              <w:left w:val="none" w:color="FFFFFF" w:sz="0"/>
              <w:bottom w:val="none" w:color="FFFFFF" w:sz="0"/>
              <w:right w:val="none" w:color="FFFFFF" w:sz="0"/>
            </w:tcBorders>
            <w:shd w:fill="1A6B52" w:val="clear"/>
            <w:tcMar>
              <w:top w:type="dxa" w:w="80"/>
              <w:left w:type="dxa" w:w="160"/>
              <w:bottom w:type="dxa" w:w="80"/>
              <w:right w:type="dxa" w:w="160"/>
            </w:tcMar>
          </w:tcPr>
          <w:p>
            <w:r>
              <w:rPr>
                <w:rFonts w:ascii="Georgia" w:cs="Georgia" w:eastAsia="Georgia" w:hAnsi="Georgia"/>
                <w:b/>
                <w:bCs/>
                <w:color w:val="FFFFFF"/>
                <w:sz w:val="18"/>
                <w:szCs w:val="18"/>
              </w:rPr>
              <w:t xml:space="preserve">Origin</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IBL: roots in Dewey (1916), formalised in various curriculum reform movements of the 1960s–70s. PBL: Howard Barrows, McMaster University, 1969</w:t>
            </w:r>
          </w:p>
        </w:tc>
      </w:tr>
      <w:tr>
        <w:tc>
          <w:tcPr>
            <w:tcW w:type="dxa" w:w="2439"/>
            <w:tcBorders>
              <w:top w:val="none" w:color="FFFFFF" w:sz="0"/>
              <w:left w:val="none" w:color="FFFFFF" w:sz="0"/>
              <w:bottom w:val="none" w:color="FFFFFF" w:sz="0"/>
              <w:right w:val="none" w:color="FFFFFF" w:sz="0"/>
            </w:tcBorders>
            <w:shd w:fill="1A6B52" w:val="clear"/>
            <w:tcMar>
              <w:top w:type="dxa" w:w="80"/>
              <w:left w:type="dxa" w:w="160"/>
              <w:bottom w:type="dxa" w:w="80"/>
              <w:right w:type="dxa" w:w="160"/>
            </w:tcMar>
          </w:tcPr>
          <w:p>
            <w:r>
              <w:rPr>
                <w:rFonts w:ascii="Georgia" w:cs="Georgia" w:eastAsia="Georgia" w:hAnsi="Georgia"/>
                <w:b/>
                <w:bCs/>
                <w:color w:val="FFFFFF"/>
                <w:sz w:val="18"/>
                <w:szCs w:val="18"/>
              </w:rPr>
              <w:t xml:space="preserve">Home discipline</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IBL: science, social studies, humanities broadly. PBL: medical education, later extended to law, engineering, and secondary education</w:t>
            </w:r>
          </w:p>
        </w:tc>
      </w:tr>
      <w:tr>
        <w:tc>
          <w:tcPr>
            <w:tcW w:type="dxa" w:w="2439"/>
            <w:tcBorders>
              <w:top w:val="none" w:color="FFFFFF" w:sz="0"/>
              <w:left w:val="none" w:color="FFFFFF" w:sz="0"/>
              <w:bottom w:val="none" w:color="FFFFFF" w:sz="0"/>
              <w:right w:val="none" w:color="FFFFFF" w:sz="0"/>
            </w:tcBorders>
            <w:shd w:fill="1A6B52" w:val="clear"/>
            <w:tcMar>
              <w:top w:type="dxa" w:w="80"/>
              <w:left w:type="dxa" w:w="160"/>
              <w:bottom w:type="dxa" w:w="80"/>
              <w:right w:type="dxa" w:w="160"/>
            </w:tcMar>
          </w:tcPr>
          <w:p>
            <w:r>
              <w:rPr>
                <w:rFonts w:ascii="Georgia" w:cs="Georgia" w:eastAsia="Georgia" w:hAnsi="Georgia"/>
                <w:b/>
                <w:bCs/>
                <w:color w:val="FFFFFF"/>
                <w:sz w:val="18"/>
                <w:szCs w:val="18"/>
              </w:rPr>
              <w:t xml:space="preserve">Core logic</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Deep learning is best achieved through sustained engagement with authentic, open-ended problems or questions that require students to construct knowledge rather than receive it</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Inquiry-based learning (IBL) and problem-based learning (PBL) are less frameworks in the formal sense than educational philosophies — broad commitments to student-centred, question-driven learning that have generated a range of more specific pedagogical models. Their intellectual ancestry traces back to John Dewey's argument, in Democracy and Education (1916), that education should be grounded in experience and directed toward the solution of genuine problems, not the transmission of inert facts.</w:t>
      </w:r>
    </w:p>
    <w:p>
      <w:pPr>
        <w:spacing w:after="160" w:before="0"/>
        <w:jc w:val="both"/>
      </w:pPr>
      <w:r>
        <w:rPr>
          <w:rFonts w:ascii="Georgia" w:cs="Georgia" w:eastAsia="Georgia" w:hAnsi="Georgia"/>
          <w:b w:val="false"/>
          <w:bCs w:val="false"/>
          <w:i w:val="false"/>
          <w:iCs w:val="false"/>
          <w:color w:val="000000"/>
          <w:sz w:val="22"/>
          <w:szCs w:val="22"/>
        </w:rPr>
        <w:t xml:space="preserve">IBL emphasises the process of inquiry itself — the formulation of questions, the gathering and evaluation of evidence, and the construction of evidence-based conclusions — as the primary vehicle of learning. In science education, this maps naturally onto the practices of scientific investigation. In humanities education, it maps onto the practices of historical research, philosophical analysis, economic modelling, and literary interpretation. IBL's defining commitment is that students should experience the intellectual practices of a discipline, not merely learn about its conclusions.</w:t>
      </w:r>
    </w:p>
    <w:p>
      <w:pPr>
        <w:spacing w:after="160" w:before="0"/>
        <w:jc w:val="both"/>
      </w:pPr>
      <w:r>
        <w:rPr>
          <w:rFonts w:ascii="Georgia" w:cs="Georgia" w:eastAsia="Georgia" w:hAnsi="Georgia"/>
          <w:b w:val="false"/>
          <w:bCs w:val="false"/>
          <w:i w:val="false"/>
          <w:iCs w:val="false"/>
          <w:color w:val="000000"/>
          <w:sz w:val="22"/>
          <w:szCs w:val="22"/>
        </w:rPr>
        <w:t xml:space="preserve">PBL, developed by Howard Barrows in the context of medical education at McMaster University in 1969, takes a more structured approach. Students are presented with a complex, authentic problem — typically before they have received instruction on the relevant content — and must identify what they need to learn in order to solve it. The problem drives the learning rather than following from it. This 'problem first' structure was radical in medical education and has since been adapted for secondary and tertiary humanities: students might be presented with an unsolved historical puzzle, an ethical dilemma, or an economic policy question before they have the tools to resolve it, generating intrinsic motivation to acquire those tools.</w:t>
      </w:r>
    </w:p>
    <w:p>
      <w:pPr>
        <w:spacing w:after="160" w:before="0"/>
        <w:jc w:val="both"/>
      </w:pPr>
      <w:r>
        <w:rPr>
          <w:rFonts w:ascii="Georgia" w:cs="Georgia" w:eastAsia="Georgia" w:hAnsi="Georgia"/>
          <w:b/>
          <w:bCs/>
          <w:i w:val="false"/>
          <w:iCs w:val="false"/>
          <w:color w:val="000000"/>
          <w:sz w:val="22"/>
          <w:szCs w:val="22"/>
        </w:rPr>
        <w:t xml:space="preserve">What IBL and PBL contribute to framework design: </w:t>
      </w:r>
      <w:r>
        <w:rPr>
          <w:rFonts w:ascii="Georgia" w:cs="Georgia" w:eastAsia="Georgia" w:hAnsi="Georgia"/>
          <w:b w:val="false"/>
          <w:bCs w:val="false"/>
          <w:i w:val="false"/>
          <w:iCs w:val="false"/>
          <w:color w:val="000000"/>
          <w:sz w:val="22"/>
          <w:szCs w:val="22"/>
        </w:rPr>
        <w:t xml:space="preserve">The primacy of authentic questions as motivators of learning; the idea that students should experience disciplinary practices rather than merely study disciplinary conclusions; the 'problem first' structure that generates genuine intellectual need; and the recognition that the messiness of open-ended inquiry, properly structured, produces deeper understanding than clean, pre-packaged content delivery.</w:t>
      </w:r>
    </w:p>
    <w:p>
      <w:pPr>
        <w:pStyle w:val="Heading2"/>
        <w:spacing w:after="120" w:before="360"/>
      </w:pPr>
      <w:r>
        <w:rPr>
          <w:rFonts w:ascii="Georgia" w:cs="Georgia" w:eastAsia="Georgia" w:hAnsi="Georgia"/>
          <w:b/>
          <w:bCs/>
          <w:color w:val="1A2A4A"/>
          <w:sz w:val="28"/>
          <w:szCs w:val="28"/>
        </w:rPr>
        <w:t xml:space="preserve">2.8 The SOLO Taxonomy (Biggs &amp; Collis, 1982)</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2439"/>
        <w:gridCol w:w="6270"/>
      </w:tblGrid>
      <w:tr>
        <w:tc>
          <w:tcPr>
            <w:tcW w:type="dxa" w:w="2439"/>
            <w:tcBorders>
              <w:top w:val="none" w:color="FFFFFF" w:sz="0"/>
              <w:left w:val="none" w:color="FFFFFF" w:sz="0"/>
              <w:bottom w:val="none" w:color="FFFFFF" w:sz="0"/>
              <w:right w:val="none" w:color="FFFFFF" w:sz="0"/>
            </w:tcBorders>
            <w:shd w:fill="7B2D8B" w:val="clear"/>
            <w:tcMar>
              <w:top w:type="dxa" w:w="80"/>
              <w:left w:type="dxa" w:w="160"/>
              <w:bottom w:type="dxa" w:w="80"/>
              <w:right w:type="dxa" w:w="160"/>
            </w:tcMar>
          </w:tcPr>
          <w:p>
            <w:r>
              <w:rPr>
                <w:rFonts w:ascii="Georgia" w:cs="Georgia" w:eastAsia="Georgia" w:hAnsi="Georgia"/>
                <w:b/>
                <w:bCs/>
                <w:color w:val="FFFFFF"/>
                <w:sz w:val="18"/>
                <w:szCs w:val="18"/>
              </w:rPr>
              <w:t xml:space="preserve">Framework</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Structure of the Observed Learning Outcome (SOLO) Taxonomy</w:t>
            </w:r>
          </w:p>
        </w:tc>
      </w:tr>
      <w:tr>
        <w:tc>
          <w:tcPr>
            <w:tcW w:type="dxa" w:w="2439"/>
            <w:tcBorders>
              <w:top w:val="none" w:color="FFFFFF" w:sz="0"/>
              <w:left w:val="none" w:color="FFFFFF" w:sz="0"/>
              <w:bottom w:val="none" w:color="FFFFFF" w:sz="0"/>
              <w:right w:val="none" w:color="FFFFFF" w:sz="0"/>
            </w:tcBorders>
            <w:shd w:fill="7B2D8B" w:val="clear"/>
            <w:tcMar>
              <w:top w:type="dxa" w:w="80"/>
              <w:left w:type="dxa" w:w="160"/>
              <w:bottom w:type="dxa" w:w="80"/>
              <w:right w:type="dxa" w:w="160"/>
            </w:tcMar>
          </w:tcPr>
          <w:p>
            <w:r>
              <w:rPr>
                <w:rFonts w:ascii="Georgia" w:cs="Georgia" w:eastAsia="Georgia" w:hAnsi="Georgia"/>
                <w:b/>
                <w:bCs/>
                <w:color w:val="FFFFFF"/>
                <w:sz w:val="18"/>
                <w:szCs w:val="18"/>
              </w:rPr>
              <w:t xml:space="preserve">Origin</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John Biggs and Kevin Collis, 1982</w:t>
            </w:r>
          </w:p>
        </w:tc>
      </w:tr>
      <w:tr>
        <w:tc>
          <w:tcPr>
            <w:tcW w:type="dxa" w:w="2439"/>
            <w:tcBorders>
              <w:top w:val="none" w:color="FFFFFF" w:sz="0"/>
              <w:left w:val="none" w:color="FFFFFF" w:sz="0"/>
              <w:bottom w:val="none" w:color="FFFFFF" w:sz="0"/>
              <w:right w:val="none" w:color="FFFFFF" w:sz="0"/>
            </w:tcBorders>
            <w:shd w:fill="7B2D8B" w:val="clear"/>
            <w:tcMar>
              <w:top w:type="dxa" w:w="80"/>
              <w:left w:type="dxa" w:w="160"/>
              <w:bottom w:type="dxa" w:w="80"/>
              <w:right w:type="dxa" w:w="160"/>
            </w:tcMar>
          </w:tcPr>
          <w:p>
            <w:r>
              <w:rPr>
                <w:rFonts w:ascii="Georgia" w:cs="Georgia" w:eastAsia="Georgia" w:hAnsi="Georgia"/>
                <w:b/>
                <w:bCs/>
                <w:color w:val="FFFFFF"/>
                <w:sz w:val="18"/>
                <w:szCs w:val="18"/>
              </w:rPr>
              <w:t xml:space="preserve">Home discipline</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All disciplines; widely used in assessment design and student self-assessment</w:t>
            </w:r>
          </w:p>
        </w:tc>
      </w:tr>
      <w:tr>
        <w:tc>
          <w:tcPr>
            <w:tcW w:type="dxa" w:w="2439"/>
            <w:tcBorders>
              <w:top w:val="none" w:color="FFFFFF" w:sz="0"/>
              <w:left w:val="none" w:color="FFFFFF" w:sz="0"/>
              <w:bottom w:val="none" w:color="FFFFFF" w:sz="0"/>
              <w:right w:val="none" w:color="FFFFFF" w:sz="0"/>
            </w:tcBorders>
            <w:shd w:fill="7B2D8B" w:val="clear"/>
            <w:tcMar>
              <w:top w:type="dxa" w:w="80"/>
              <w:left w:type="dxa" w:w="160"/>
              <w:bottom w:type="dxa" w:w="80"/>
              <w:right w:type="dxa" w:w="160"/>
            </w:tcMar>
          </w:tcPr>
          <w:p>
            <w:r>
              <w:rPr>
                <w:rFonts w:ascii="Georgia" w:cs="Georgia" w:eastAsia="Georgia" w:hAnsi="Georgia"/>
                <w:b/>
                <w:bCs/>
                <w:color w:val="FFFFFF"/>
                <w:sz w:val="18"/>
                <w:szCs w:val="18"/>
              </w:rPr>
              <w:t xml:space="preserve">Core logic</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Student responses can be mapped onto a five-level hierarchy that describes the structure of their understanding, from unistructural through to extended abstract</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Where Bloom's Taxonomy describes the kinds of cognitive tasks that can be demanded of students, the SOLO Taxonomy developed by John Biggs and Kevin Collis describes the quality of students' responses to those tasks — specifically, the structural complexity of the understanding they demonstrate. SOLO stands for Structure of the Observed Learning Outcome, and its central claim is that what distinguishes a sophisticated response from a superficial one is not primarily the quantity of information included, but the degree to which that information is structurally integrated.</w:t>
      </w:r>
    </w:p>
    <w:p>
      <w:pPr>
        <w:spacing w:after="160" w:before="0"/>
        <w:jc w:val="both"/>
      </w:pPr>
      <w:r>
        <w:rPr>
          <w:rFonts w:ascii="Georgia" w:cs="Georgia" w:eastAsia="Georgia" w:hAnsi="Georgia"/>
          <w:b w:val="false"/>
          <w:bCs w:val="false"/>
          <w:i w:val="false"/>
          <w:iCs w:val="false"/>
          <w:color w:val="000000"/>
          <w:sz w:val="22"/>
          <w:szCs w:val="22"/>
        </w:rPr>
        <w:t xml:space="preserve">The SOLO hierarchy comprises five levels. At the Prestructural level, the student has not engaged with the task or demonstrates a fundamental misunderstanding. At the Unistructural level, the student identifies one relevant element but cannot connect it to others. At the Multistructural level, the student identifies multiple relevant elements but treats them as parallel rather than related. At the Relational level, the student integrates multiple elements into a coherent whole, demonstrating genuine understanding of how they connect. At the Extended Abstract level, the student moves beyond the given information to generate new principles, hypotheses, or applications — the kind of thinking Bloom would call 'Create'.</w:t>
      </w:r>
    </w:p>
    <w:p>
      <w:pPr>
        <w:spacing w:after="160" w:before="0"/>
        <w:jc w:val="both"/>
      </w:pPr>
      <w:r>
        <w:rPr>
          <w:rFonts w:ascii="Georgia" w:cs="Georgia" w:eastAsia="Georgia" w:hAnsi="Georgia"/>
          <w:b w:val="false"/>
          <w:bCs w:val="false"/>
          <w:i w:val="false"/>
          <w:iCs w:val="false"/>
          <w:color w:val="000000"/>
          <w:sz w:val="22"/>
          <w:szCs w:val="22"/>
        </w:rPr>
        <w:t xml:space="preserve">SOLO is particularly valuable for humanities education because it provides a precise vocabulary for describing the difference between a student who can list the causes of World War One and a student who can explain how those causes interacted and which was most significant. The difference is not one of knowledge but of structure — and SOLO gives both teachers and students a language for naming and working toward that structural sophistication. Many Australian senior secondary syllabuses (including QCAA) implicitly draw on SOLO in their marking criteria, rewarding the integration of evidence and the development of sustained argument over the accumulation of factual detail.</w:t>
      </w:r>
    </w:p>
    <w:p>
      <w:pPr>
        <w:spacing w:after="160" w:before="0"/>
        <w:jc w:val="both"/>
      </w:pPr>
      <w:r>
        <w:rPr>
          <w:rFonts w:ascii="Georgia" w:cs="Georgia" w:eastAsia="Georgia" w:hAnsi="Georgia"/>
          <w:b/>
          <w:bCs/>
          <w:i w:val="false"/>
          <w:iCs w:val="false"/>
          <w:color w:val="000000"/>
          <w:sz w:val="22"/>
          <w:szCs w:val="22"/>
        </w:rPr>
        <w:t xml:space="preserve">What SOLO contributes to framework design: </w:t>
      </w:r>
      <w:r>
        <w:rPr>
          <w:rFonts w:ascii="Georgia" w:cs="Georgia" w:eastAsia="Georgia" w:hAnsi="Georgia"/>
          <w:b w:val="false"/>
          <w:bCs w:val="false"/>
          <w:i w:val="false"/>
          <w:iCs w:val="false"/>
          <w:color w:val="000000"/>
          <w:sz w:val="22"/>
          <w:szCs w:val="22"/>
        </w:rPr>
        <w:t xml:space="preserve">The vocabulary of structural complexity (unistructural to extended abstract); the distinction between quantity and integration of understanding; a developmental model that allows students to self-assess and set goals; and the insight that the highest form of understanding — extended abstract thinking — involves generating new ideas, not merely mastering existing ones.</w:t>
      </w:r>
    </w:p>
    <w:p>
      <w:pPr>
        <w:pStyle w:val="Heading2"/>
        <w:spacing w:after="120" w:before="360"/>
      </w:pPr>
      <w:r>
        <w:rPr>
          <w:rFonts w:ascii="Georgia" w:cs="Georgia" w:eastAsia="Georgia" w:hAnsi="Georgia"/>
          <w:b/>
          <w:bCs/>
          <w:color w:val="1A2A4A"/>
          <w:sz w:val="28"/>
          <w:szCs w:val="28"/>
        </w:rPr>
        <w:t xml:space="preserve">2.9 Disciplinary Literacy (Shanahan &amp; Shanahan, 2008)</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2439"/>
        <w:gridCol w:w="6270"/>
      </w:tblGrid>
      <w:tr>
        <w:tc>
          <w:tcPr>
            <w:tcW w:type="dxa" w:w="2439"/>
            <w:tcBorders>
              <w:top w:val="none" w:color="FFFFFF" w:sz="0"/>
              <w:left w:val="none" w:color="FFFFFF" w:sz="0"/>
              <w:bottom w:val="none" w:color="FFFFFF" w:sz="0"/>
              <w:right w:val="none" w:color="FFFFFF" w:sz="0"/>
            </w:tcBorders>
            <w:shd w:fill="1F7A6E" w:val="clear"/>
            <w:tcMar>
              <w:top w:type="dxa" w:w="80"/>
              <w:left w:type="dxa" w:w="160"/>
              <w:bottom w:type="dxa" w:w="80"/>
              <w:right w:type="dxa" w:w="160"/>
            </w:tcMar>
          </w:tcPr>
          <w:p>
            <w:r>
              <w:rPr>
                <w:rFonts w:ascii="Georgia" w:cs="Georgia" w:eastAsia="Georgia" w:hAnsi="Georgia"/>
                <w:b/>
                <w:bCs/>
                <w:color w:val="FFFFFF"/>
                <w:sz w:val="18"/>
                <w:szCs w:val="18"/>
              </w:rPr>
              <w:t xml:space="preserve">Framework</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Disciplinary Literacy</w:t>
            </w:r>
          </w:p>
        </w:tc>
      </w:tr>
      <w:tr>
        <w:tc>
          <w:tcPr>
            <w:tcW w:type="dxa" w:w="2439"/>
            <w:tcBorders>
              <w:top w:val="none" w:color="FFFFFF" w:sz="0"/>
              <w:left w:val="none" w:color="FFFFFF" w:sz="0"/>
              <w:bottom w:val="none" w:color="FFFFFF" w:sz="0"/>
              <w:right w:val="none" w:color="FFFFFF" w:sz="0"/>
            </w:tcBorders>
            <w:shd w:fill="1F7A6E" w:val="clear"/>
            <w:tcMar>
              <w:top w:type="dxa" w:w="80"/>
              <w:left w:type="dxa" w:w="160"/>
              <w:bottom w:type="dxa" w:w="80"/>
              <w:right w:type="dxa" w:w="160"/>
            </w:tcMar>
          </w:tcPr>
          <w:p>
            <w:r>
              <w:rPr>
                <w:rFonts w:ascii="Georgia" w:cs="Georgia" w:eastAsia="Georgia" w:hAnsi="Georgia"/>
                <w:b/>
                <w:bCs/>
                <w:color w:val="FFFFFF"/>
                <w:sz w:val="18"/>
                <w:szCs w:val="18"/>
              </w:rPr>
              <w:t xml:space="preserve">Origin</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Timothy Shanahan and Cynthia Shanahan, 2008; extended by researchers including Elizabeth Moje and Jeffery Zwiers</w:t>
            </w:r>
          </w:p>
        </w:tc>
      </w:tr>
      <w:tr>
        <w:tc>
          <w:tcPr>
            <w:tcW w:type="dxa" w:w="2439"/>
            <w:tcBorders>
              <w:top w:val="none" w:color="FFFFFF" w:sz="0"/>
              <w:left w:val="none" w:color="FFFFFF" w:sz="0"/>
              <w:bottom w:val="none" w:color="FFFFFF" w:sz="0"/>
              <w:right w:val="none" w:color="FFFFFF" w:sz="0"/>
            </w:tcBorders>
            <w:shd w:fill="1F7A6E" w:val="clear"/>
            <w:tcMar>
              <w:top w:type="dxa" w:w="80"/>
              <w:left w:type="dxa" w:w="160"/>
              <w:bottom w:type="dxa" w:w="80"/>
              <w:right w:type="dxa" w:w="160"/>
            </w:tcMar>
          </w:tcPr>
          <w:p>
            <w:r>
              <w:rPr>
                <w:rFonts w:ascii="Georgia" w:cs="Georgia" w:eastAsia="Georgia" w:hAnsi="Georgia"/>
                <w:b/>
                <w:bCs/>
                <w:color w:val="FFFFFF"/>
                <w:sz w:val="18"/>
                <w:szCs w:val="18"/>
              </w:rPr>
              <w:t xml:space="preserve">Home discipline</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Literacy education across disciplines; particularly influential in senior secondary humanities and science</w:t>
            </w:r>
          </w:p>
        </w:tc>
      </w:tr>
      <w:tr>
        <w:tc>
          <w:tcPr>
            <w:tcW w:type="dxa" w:w="2439"/>
            <w:tcBorders>
              <w:top w:val="none" w:color="FFFFFF" w:sz="0"/>
              <w:left w:val="none" w:color="FFFFFF" w:sz="0"/>
              <w:bottom w:val="none" w:color="FFFFFF" w:sz="0"/>
              <w:right w:val="none" w:color="FFFFFF" w:sz="0"/>
            </w:tcBorders>
            <w:shd w:fill="1F7A6E" w:val="clear"/>
            <w:tcMar>
              <w:top w:type="dxa" w:w="80"/>
              <w:left w:type="dxa" w:w="160"/>
              <w:bottom w:type="dxa" w:w="80"/>
              <w:right w:type="dxa" w:w="160"/>
            </w:tcMar>
          </w:tcPr>
          <w:p>
            <w:r>
              <w:rPr>
                <w:rFonts w:ascii="Georgia" w:cs="Georgia" w:eastAsia="Georgia" w:hAnsi="Georgia"/>
                <w:b/>
                <w:bCs/>
                <w:color w:val="FFFFFF"/>
                <w:sz w:val="18"/>
                <w:szCs w:val="18"/>
              </w:rPr>
              <w:t xml:space="preserve">Core logic</w:t>
            </w:r>
          </w:p>
        </w:tc>
        <w:tc>
          <w:tcPr>
            <w:tcW w:type="dxa" w:w="6270"/>
            <w:tcBorders>
              <w:top w:val="none" w:color="FFFFFF" w:sz="0"/>
              <w:left w:val="none" w:color="FFFFFF" w:sz="0"/>
              <w:bottom w:val="none" w:color="FFFFFF" w:sz="0"/>
              <w:right w:val="none" w:color="FFFFFF" w:sz="0"/>
            </w:tcBorders>
            <w:shd w:fill="F2F2F2" w:val="clear"/>
            <w:tcMar>
              <w:top w:type="dxa" w:w="80"/>
              <w:left w:type="dxa" w:w="160"/>
              <w:bottom w:type="dxa" w:w="80"/>
              <w:right w:type="dxa" w:w="160"/>
            </w:tcMar>
          </w:tcPr>
          <w:p>
            <w:r>
              <w:rPr>
                <w:rFonts w:ascii="Georgia" w:cs="Georgia" w:eastAsia="Georgia" w:hAnsi="Georgia"/>
                <w:color w:val="000000"/>
                <w:sz w:val="18"/>
                <w:szCs w:val="18"/>
              </w:rPr>
              <w:t xml:space="preserve">Reading and writing in different disciplines are not generic skills but discipline-specific practices that must be explicitly taught alongside content knowledge</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Timothy and Cynthia Shanahan's 2008 paper 'Teaching Disciplinary Literacy to Adolescents: Rethinking Content-Area Literacy' marked a significant shift in how educators think about reading and writing in secondary schools. The Shanahans argued — based on research with expert disciplinary practitioners — that literacy practices are not generic but discipline-specific: historians read sources differently from chemists, who read differently from literary critics. Teaching students to 'read better' in a generic sense is insufficient; they must be taught the specific reading and writing practices of the discipline they are working in.</w:t>
      </w:r>
    </w:p>
    <w:p>
      <w:pPr>
        <w:spacing w:after="160" w:before="0"/>
        <w:jc w:val="both"/>
      </w:pPr>
      <w:r>
        <w:rPr>
          <w:rFonts w:ascii="Georgia" w:cs="Georgia" w:eastAsia="Georgia" w:hAnsi="Georgia"/>
          <w:b w:val="false"/>
          <w:bCs w:val="false"/>
          <w:i w:val="false"/>
          <w:iCs w:val="false"/>
          <w:color w:val="000000"/>
          <w:sz w:val="22"/>
          <w:szCs w:val="22"/>
        </w:rPr>
        <w:t xml:space="preserve">A historian, for instance, approaches a document by asking about its provenance, the context of its creation, and the purposes and biases of its author — a practice Wineburg (1991) famously called 'sourcing'. They read multiple documents against each other, noting convergence and contradiction — 'corroboration'. And they situate each document in its historical context before evaluating its significance — 'contextualisation'. These are not natural reading strategies; they are disciplinary habits of mind that must be explicitly taught.</w:t>
      </w:r>
    </w:p>
    <w:p>
      <w:pPr>
        <w:spacing w:after="160" w:before="0"/>
        <w:jc w:val="both"/>
      </w:pPr>
      <w:r>
        <w:rPr>
          <w:rFonts w:ascii="Georgia" w:cs="Georgia" w:eastAsia="Georgia" w:hAnsi="Georgia"/>
          <w:b w:val="false"/>
          <w:bCs w:val="false"/>
          <w:i w:val="false"/>
          <w:iCs w:val="false"/>
          <w:color w:val="000000"/>
          <w:sz w:val="22"/>
          <w:szCs w:val="22"/>
        </w:rPr>
        <w:t xml:space="preserve">A literary critic, by contrast, attends to the formal properties of the text — imagery, structure, voice, irony — and reads through theoretical lenses (feminist, postcolonial, psychoanalytic) that shape what they notice and how they interpret it. An economist reads a data set looking for patterns, causal relationships, and the assumptions embedded in the model that generated the data. Each of these practices is genuinely literate, and genuinely different from the others.</w:t>
      </w:r>
    </w:p>
    <w:p>
      <w:pPr>
        <w:spacing w:after="160" w:before="0"/>
        <w:jc w:val="both"/>
      </w:pPr>
      <w:r>
        <w:rPr>
          <w:rFonts w:ascii="Georgia" w:cs="Georgia" w:eastAsia="Georgia" w:hAnsi="Georgia"/>
          <w:b w:val="false"/>
          <w:bCs w:val="false"/>
          <w:i w:val="false"/>
          <w:iCs w:val="false"/>
          <w:color w:val="000000"/>
          <w:sz w:val="22"/>
          <w:szCs w:val="22"/>
        </w:rPr>
        <w:t xml:space="preserve">The disciplinary literacy movement has transformed the design of the Examine stage in frameworks like QUEST. It insists that 'examine sources' is not a generic instruction but a discipline-specific one, and that the scaffold provided to students at this stage must reflect the actual interpretive practices of the discipline — not a generic reading comprehension exercise dressed in disciplinary clothing.</w:t>
      </w:r>
    </w:p>
    <w:p>
      <w:pPr>
        <w:spacing w:after="160" w:before="0"/>
        <w:jc w:val="both"/>
      </w:pPr>
      <w:r>
        <w:rPr>
          <w:rFonts w:ascii="Georgia" w:cs="Georgia" w:eastAsia="Georgia" w:hAnsi="Georgia"/>
          <w:b/>
          <w:bCs/>
          <w:i w:val="false"/>
          <w:iCs w:val="false"/>
          <w:color w:val="000000"/>
          <w:sz w:val="22"/>
          <w:szCs w:val="22"/>
        </w:rPr>
        <w:t xml:space="preserve">What disciplinary literacy contributes to framework design: </w:t>
      </w:r>
      <w:r>
        <w:rPr>
          <w:rFonts w:ascii="Georgia" w:cs="Georgia" w:eastAsia="Georgia" w:hAnsi="Georgia"/>
          <w:b w:val="false"/>
          <w:bCs w:val="false"/>
          <w:i w:val="false"/>
          <w:iCs w:val="false"/>
          <w:color w:val="000000"/>
          <w:sz w:val="22"/>
          <w:szCs w:val="22"/>
        </w:rPr>
        <w:t xml:space="preserve">The principle that reading and analysis are discipline-specific rather than generic; the identification of specific disciplinary reading practices (sourcing, corroboration, contextualisation in history; close reading and theoretical application in literature; data literacy in economics); and the insistence that these practices must be explicitly taught, not assumed.</w:t>
      </w:r>
    </w:p>
    <w:p>
      <w:pPr>
        <w:spacing w:after="120" w:before="0"/>
      </w:pPr>
      <w:r>
        <w:t xml:space="preserve"/>
      </w:r>
    </w:p>
    <w:p>
      <w:r>
        <w:br w:type="page"/>
      </w:r>
    </w:p>
    <w:p>
      <w:pPr>
        <w:pStyle w:val="Heading1"/>
        <w:spacing w:after="160" w:before="480"/>
      </w:pPr>
      <w:r>
        <w:rPr>
          <w:rFonts w:ascii="Georgia" w:cs="Georgia" w:eastAsia="Georgia" w:hAnsi="Georgia"/>
          <w:b/>
          <w:bCs/>
          <w:color w:val="1A2A4A"/>
          <w:sz w:val="36"/>
          <w:szCs w:val="36"/>
        </w:rPr>
        <w:t xml:space="preserve">3. The Common Logic Beneath the Frameworks</w:t>
      </w:r>
    </w:p>
    <w:p>
      <w:pPr>
        <w:spacing w:after="160" w:before="0"/>
        <w:jc w:val="both"/>
      </w:pPr>
      <w:r>
        <w:rPr>
          <w:rFonts w:ascii="Georgia" w:cs="Georgia" w:eastAsia="Georgia" w:hAnsi="Georgia"/>
          <w:b w:val="false"/>
          <w:bCs w:val="false"/>
          <w:i w:val="false"/>
          <w:iCs w:val="false"/>
          <w:color w:val="000000"/>
          <w:sz w:val="22"/>
          <w:szCs w:val="22"/>
        </w:rPr>
        <w:t xml:space="preserve">A reader who moves through the frameworks surveyed above will notice a convergence that transcends the differences in terminology, discipline, and intellectual tradition. Despite being developed by different researchers, in different countries, across more than two millennia, these frameworks share a deep structural logic — a set of commitments about how learning works that appear to be genuinely robust.</w:t>
      </w:r>
    </w:p>
    <w:p>
      <w:pPr>
        <w:spacing w:after="160" w:before="0"/>
        <w:jc w:val="both"/>
      </w:pPr>
      <w:r>
        <w:rPr>
          <w:rFonts w:ascii="Georgia" w:cs="Georgia" w:eastAsia="Georgia" w:hAnsi="Georgia"/>
          <w:b w:val="false"/>
          <w:bCs w:val="false"/>
          <w:i w:val="false"/>
          <w:iCs w:val="false"/>
          <w:color w:val="000000"/>
          <w:sz w:val="22"/>
          <w:szCs w:val="22"/>
        </w:rPr>
        <w:t xml:space="preserve">That common logic can be stated in five propositions:</w:t>
      </w:r>
    </w:p>
    <w:p>
      <w:pPr>
        <w:pStyle w:val="ListParagraph"/>
        <w:numPr>
          <w:ilvl w:val="0"/>
          <w:numId w:val="2"/>
        </w:numPr>
        <w:spacing w:after="40" w:before="40"/>
      </w:pPr>
      <w:r>
        <w:rPr>
          <w:rFonts w:ascii="Georgia" w:cs="Georgia" w:eastAsia="Georgia" w:hAnsi="Georgia"/>
          <w:sz w:val="22"/>
          <w:szCs w:val="22"/>
        </w:rPr>
        <w:t xml:space="preserve">Learning begins with a question, problem, or provocation — something that generates genuine intellectual need. Whether it is Socrates' elenchus, Dewey's problem, or UbD's essential question, every effective framework insists that curiosity and confusion precede understanding.</w:t>
      </w:r>
    </w:p>
    <w:p>
      <w:pPr>
        <w:pStyle w:val="ListParagraph"/>
        <w:numPr>
          <w:ilvl w:val="0"/>
          <w:numId w:val="2"/>
        </w:numPr>
        <w:spacing w:after="40" w:before="40"/>
      </w:pPr>
      <w:r>
        <w:rPr>
          <w:rFonts w:ascii="Georgia" w:cs="Georgia" w:eastAsia="Georgia" w:hAnsi="Georgia"/>
          <w:sz w:val="22"/>
          <w:szCs w:val="22"/>
        </w:rPr>
        <w:t xml:space="preserve">New learning must be connected to prior knowledge. Constructivism established this principle theoretically; GRR and IBL operationalise it practically. The Explore phase of 5E, the Unpack stage of QUEST, and the prior knowledge activation of UbD all serve this function.</w:t>
      </w:r>
    </w:p>
    <w:p>
      <w:pPr>
        <w:pStyle w:val="ListParagraph"/>
        <w:numPr>
          <w:ilvl w:val="0"/>
          <w:numId w:val="2"/>
        </w:numPr>
        <w:spacing w:after="40" w:before="40"/>
      </w:pPr>
      <w:r>
        <w:rPr>
          <w:rFonts w:ascii="Georgia" w:cs="Georgia" w:eastAsia="Georgia" w:hAnsi="Georgia"/>
          <w:sz w:val="22"/>
          <w:szCs w:val="22"/>
        </w:rPr>
        <w:t xml:space="preserve">Deep understanding requires active engagement with primary material — sources, texts, data, problems — not merely explanation about them. The Examine stage in QUEST, the Explore phase in 5E, the E in IBL, and the sourcing practices of disciplinary literacy all insist that students must do the intellectual work themselves, not watch it being done.</w:t>
      </w:r>
    </w:p>
    <w:p>
      <w:pPr>
        <w:pStyle w:val="ListParagraph"/>
        <w:numPr>
          <w:ilvl w:val="0"/>
          <w:numId w:val="2"/>
        </w:numPr>
        <w:spacing w:after="40" w:before="40"/>
      </w:pPr>
      <w:r>
        <w:rPr>
          <w:rFonts w:ascii="Georgia" w:cs="Georgia" w:eastAsia="Georgia" w:hAnsi="Georgia"/>
          <w:sz w:val="22"/>
          <w:szCs w:val="22"/>
        </w:rPr>
        <w:t xml:space="preserve">Understanding must be synthesised, not merely assembled. Moving from the multistructural to the relational level (SOLO), from analysis to evaluation (Bloom), from exploration to explanation (5E), from inquiry to argument (QUEST) — in every framework, there is a moment at which discrete elements must be integrated into a coherent whole. This is the cognitive work of genuine understanding, and it cannot be shortcut.</w:t>
      </w:r>
    </w:p>
    <w:p>
      <w:pPr>
        <w:pStyle w:val="ListParagraph"/>
        <w:numPr>
          <w:ilvl w:val="0"/>
          <w:numId w:val="2"/>
        </w:numPr>
        <w:spacing w:after="40" w:before="40"/>
      </w:pPr>
      <w:r>
        <w:rPr>
          <w:rFonts w:ascii="Georgia" w:cs="Georgia" w:eastAsia="Georgia" w:hAnsi="Georgia"/>
          <w:sz w:val="22"/>
          <w:szCs w:val="22"/>
        </w:rPr>
        <w:t xml:space="preserve">Learning is not complete until it can be transferred — applied in new contexts, extended to new cases, connected to new problems. Every framework includes some version of this stage: the Elaborate phase in 5E, the extended abstract level in SOLO, the Transfer stage in QUEST. This is what distinguishes durable understanding from temporary performance on a familiar task.</w:t>
      </w:r>
    </w:p>
    <w:p>
      <w:pPr>
        <w:spacing w:after="120" w:before="0"/>
      </w:pPr>
      <w:r>
        <w:t xml:space="preserve"/>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The frameworks differ in emphasis, vocabulary, and discipline. But they agree on the deep structure of learning: question → build → examine → synthesise → transfer. QUEST is, in one sense, a humanities-specific articulation of this universal logic.</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These five propositions define the intellectual lineage of QUEST. They are not principles invented for Quest Humanities; they are the consolidated wisdom of more than a century of educational research, traced back to the oldest tradition of structured inquiry in the Western canon. QUEST is designed to embody these principles while attending to the specific ways that humanities disciplines pursue and construct knowledge.</w:t>
      </w:r>
    </w:p>
    <w:p>
      <w:r>
        <w:br w:type="page"/>
      </w:r>
    </w:p>
    <w:p>
      <w:pPr>
        <w:pStyle w:val="Heading1"/>
        <w:spacing w:after="160" w:before="480"/>
      </w:pPr>
      <w:r>
        <w:rPr>
          <w:rFonts w:ascii="Georgia" w:cs="Georgia" w:eastAsia="Georgia" w:hAnsi="Georgia"/>
          <w:b/>
          <w:bCs/>
          <w:color w:val="1A2A4A"/>
          <w:sz w:val="36"/>
          <w:szCs w:val="36"/>
        </w:rPr>
        <w:t xml:space="preserve">4. The QUEST Framework: A Step-by-Step Guide</w:t>
      </w:r>
    </w:p>
    <w:p>
      <w:pPr>
        <w:spacing w:after="160" w:before="0"/>
        <w:jc w:val="both"/>
      </w:pPr>
      <w:r>
        <w:rPr>
          <w:rFonts w:ascii="Georgia" w:cs="Georgia" w:eastAsia="Georgia" w:hAnsi="Georgia"/>
          <w:b w:val="false"/>
          <w:bCs w:val="false"/>
          <w:i w:val="false"/>
          <w:iCs w:val="false"/>
          <w:color w:val="000000"/>
          <w:sz w:val="22"/>
          <w:szCs w:val="22"/>
        </w:rPr>
        <w:t xml:space="preserve">QUEST — Question, Unpack, Examine, Synthesise, Transfer — is the pedagogical spine of Quest Humanities. It provides a consistent five-stage inquiry architecture across all humanities subjects while allowing each discipline to retain its distinctive ways of knowing and working. Like the 5E model in science, QUEST gives students a transferable mental model that reduces cognitive load when moving between subjects, while the discipline-specific lens within each stage ensures that the framework serves rather than flattens the richness of each discipline.</w:t>
      </w:r>
    </w:p>
    <w:p>
      <w:pPr>
        <w:spacing w:after="160" w:before="0"/>
        <w:jc w:val="both"/>
      </w:pPr>
      <w:r>
        <w:rPr>
          <w:rFonts w:ascii="Georgia" w:cs="Georgia" w:eastAsia="Georgia" w:hAnsi="Georgia"/>
          <w:b w:val="false"/>
          <w:bCs w:val="false"/>
          <w:i w:val="false"/>
          <w:iCs w:val="false"/>
          <w:color w:val="000000"/>
          <w:sz w:val="22"/>
          <w:szCs w:val="22"/>
        </w:rPr>
        <w:t xml:space="preserve">This section examines each stage in detail, explaining its cognitive purpose, its relationship to the broader framework tradition, its implementation in practice, and the common mistakes that occur when it is poorly understood or rushed.</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QUEST is a scaffold, not a formula. Humanities thinking is recursive: students revisit their question as they encounter evidence, refine their synthesis as they consider counter-arguments, and return to unpacking when new complexity emerges. The framework should be taught as a flexible structure that supports — rather than constrains — genuine inquiry.</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4.1  Q — Question: Framing the Inquiry</w:t>
      </w:r>
    </w:p>
    <w:tbl>
      <w:tblPr>
        <w:tblW w:type="dxa" w:w="8709"/>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1568"/>
        <w:gridCol w:w="7141"/>
      </w:tblGrid>
      <w:tr>
        <w:tc>
          <w:tcPr>
            <w:tcW w:type="dxa" w:w="1568"/>
            <w:tcBorders>
              <w:top w:val="none" w:color="FFFFFF" w:sz="0"/>
              <w:left w:val="none" w:color="FFFFFF" w:sz="0"/>
              <w:bottom w:val="none" w:color="FFFFFF" w:sz="0"/>
              <w:right w:val="none" w:color="FFFFFF" w:sz="0"/>
            </w:tcBorders>
            <w:shd w:fill="1A6B52" w:val="clear"/>
            <w:tcMar>
              <w:top w:type="dxa" w:w="160"/>
              <w:left w:type="dxa" w:w="160"/>
              <w:bottom w:type="dxa" w:w="160"/>
              <w:right w:type="dxa" w:w="160"/>
            </w:tcMar>
            <w:vAlign w:val="center"/>
          </w:tcPr>
          <w:p>
            <w:pPr>
              <w:jc w:val="center"/>
            </w:pPr>
            <w:r>
              <w:rPr>
                <w:rFonts w:ascii="Georgia" w:cs="Georgia" w:eastAsia="Georgia" w:hAnsi="Georgia"/>
                <w:b/>
                <w:bCs/>
                <w:color w:val="FFFFFF"/>
                <w:sz w:val="64"/>
                <w:szCs w:val="64"/>
              </w:rPr>
              <w:t xml:space="preserve">Q</w:t>
            </w:r>
          </w:p>
          <w:p>
            <w:pPr>
              <w:jc w:val="center"/>
            </w:pPr>
            <w:r>
              <w:rPr>
                <w:rFonts w:ascii="Georgia" w:cs="Georgia" w:eastAsia="Georgia" w:hAnsi="Georgia"/>
                <w:b/>
                <w:bCs/>
                <w:color w:val="FFFFFF"/>
                <w:sz w:val="20"/>
                <w:szCs w:val="20"/>
              </w:rPr>
              <w:t xml:space="preserve">Question</w:t>
            </w:r>
          </w:p>
        </w:tc>
        <w:tc>
          <w:tcPr>
            <w:tcW w:type="dxa" w:w="7141"/>
            <w:tcBorders>
              <w:top w:val="none" w:color="FFFFFF" w:sz="0"/>
              <w:left w:val="none" w:color="FFFFFF" w:sz="0"/>
              <w:bottom w:val="none" w:color="FFFFFF" w:sz="0"/>
              <w:right w:val="none" w:color="FFFFFF" w:sz="0"/>
            </w:tcBorders>
            <w:shd w:fill="F2F2F2" w:val="clear"/>
            <w:tcMar>
              <w:top w:type="dxa" w:w="160"/>
              <w:left w:type="dxa" w:w="200"/>
              <w:bottom w:type="dxa" w:w="160"/>
              <w:right w:type="dxa" w:w="200"/>
            </w:tcMar>
          </w:tcPr>
          <w:p>
            <w:pPr>
              <w:spacing w:after="80" w:before="0"/>
            </w:pPr>
            <w:r>
              <w:rPr>
                <w:rFonts w:ascii="Georgia" w:cs="Georgia" w:eastAsia="Georgia" w:hAnsi="Georgia"/>
                <w:b/>
                <w:bCs/>
                <w:i/>
                <w:iCs/>
                <w:color w:val="1A6B52"/>
                <w:sz w:val="22"/>
                <w:szCs w:val="22"/>
              </w:rPr>
              <w:t xml:space="preserve">Frame a compelling inquiry question that invites analysis, not description.</w:t>
            </w:r>
          </w:p>
          <w:p>
            <w:pPr>
              <w:spacing w:after="80" w:before="0"/>
              <w:jc w:val="both"/>
            </w:pPr>
            <w:r>
              <w:rPr>
                <w:rFonts w:ascii="Georgia" w:cs="Georgia" w:eastAsia="Georgia" w:hAnsi="Georgia"/>
                <w:color w:val="111111"/>
                <w:sz w:val="20"/>
                <w:szCs w:val="20"/>
              </w:rPr>
              <w:t xml:space="preserve">The Question stage is the most consequential and the most frequently misunderstood. Its purpose is not simply to choose a topic, but to frame a question that makes genuine intellectual work possible — a question that is open enough to sustain inquiry, specific enough to be answerable with evidence, and demanding enough to require analysis rather than description.</w:t>
            </w:r>
          </w:p>
          <w:p>
            <w:pPr>
              <w:spacing w:after="80" w:before="0"/>
              <w:jc w:val="both"/>
            </w:pPr>
            <w:r>
              <w:rPr>
                <w:rFonts w:ascii="Georgia" w:cs="Georgia" w:eastAsia="Georgia" w:hAnsi="Georgia"/>
                <w:color w:val="111111"/>
                <w:sz w:val="20"/>
                <w:szCs w:val="20"/>
              </w:rPr>
              <w:t xml:space="preserve">Drawing on Wiggins and McTighe's concept of the essential question, and on the Socratic tradition's understanding of inquiry as beginning in productive confusion, the Question stage asks students to perform a sophisticated cognitive act: to identify not just what they want to know, but why knowing it matters, and what kind of evidence and reasoning will be needed to answer it.</w:t>
            </w:r>
          </w:p>
          <w:p>
            <w:pPr>
              <w:spacing w:after="80" w:before="0"/>
              <w:jc w:val="both"/>
            </w:pPr>
            <w:r>
              <w:rPr>
                <w:rFonts w:ascii="Georgia" w:cs="Georgia" w:eastAsia="Georgia" w:hAnsi="Georgia"/>
                <w:color w:val="111111"/>
                <w:sz w:val="20"/>
                <w:szCs w:val="20"/>
              </w:rPr>
              <w:t xml:space="preserve">The distinction between a good inquiry question and a poor one is the distinction between 'What caused World War One?' (which invites a list) and 'To what extent was the alliance system the primary cause of World War One?' (which invites an argument). It is the distinction between 'What is inflation?' (which invites a definition) and 'Why has inflation proven so difficult to control in modern economies?' (which invites analysis of multiple interacting factors). A well-formed QUEST question announces the standard of thinking required for the whole inquiry that follows.</w:t>
            </w:r>
          </w:p>
        </w:tc>
      </w:tr>
    </w:tbl>
    <w:p>
      <w:pPr>
        <w:spacing w:after="80" w:before="0"/>
      </w:pPr>
      <w:r>
        <w:t xml:space="preserve"/>
      </w:r>
    </w:p>
    <w:p>
      <w:pPr>
        <w:pStyle w:val="Heading3"/>
        <w:spacing w:after="80" w:before="280"/>
      </w:pPr>
      <w:r>
        <w:rPr>
          <w:rFonts w:ascii="Georgia" w:cs="Georgia" w:eastAsia="Georgia" w:hAnsi="Georgia"/>
          <w:b/>
          <w:bCs/>
          <w:color w:val="8B6914"/>
          <w:sz w:val="24"/>
          <w:szCs w:val="24"/>
        </w:rPr>
        <w:t xml:space="preserve">What teachers should look for in the Question stage:</w:t>
      </w:r>
    </w:p>
    <w:p>
      <w:pPr>
        <w:pStyle w:val="ListParagraph"/>
        <w:numPr>
          <w:ilvl w:val="0"/>
          <w:numId w:val="3"/>
        </w:numPr>
        <w:spacing w:after="40" w:before="40"/>
      </w:pPr>
      <w:r>
        <w:rPr>
          <w:rFonts w:ascii="Georgia" w:cs="Georgia" w:eastAsia="Georgia" w:hAnsi="Georgia"/>
          <w:sz w:val="22"/>
          <w:szCs w:val="22"/>
        </w:rPr>
        <w:t xml:space="preserve">The question should be genuinely open — it should admit of multiple defensible answers, each requiring evidence and argument</w:t>
      </w:r>
    </w:p>
    <w:p>
      <w:pPr>
        <w:pStyle w:val="ListParagraph"/>
        <w:numPr>
          <w:ilvl w:val="0"/>
          <w:numId w:val="3"/>
        </w:numPr>
        <w:spacing w:after="40" w:before="40"/>
      </w:pPr>
      <w:r>
        <w:rPr>
          <w:rFonts w:ascii="Georgia" w:cs="Georgia" w:eastAsia="Georgia" w:hAnsi="Georgia"/>
          <w:sz w:val="22"/>
          <w:szCs w:val="22"/>
        </w:rPr>
        <w:t xml:space="preserve">The question should use analytical language: 'to what extent', 'why', 'how', 'in what ways', 'evaluate the view that'</w:t>
      </w:r>
    </w:p>
    <w:p>
      <w:pPr>
        <w:pStyle w:val="ListParagraph"/>
        <w:numPr>
          <w:ilvl w:val="0"/>
          <w:numId w:val="3"/>
        </w:numPr>
        <w:spacing w:after="40" w:before="40"/>
      </w:pPr>
      <w:r>
        <w:rPr>
          <w:rFonts w:ascii="Georgia" w:cs="Georgia" w:eastAsia="Georgia" w:hAnsi="Georgia"/>
          <w:sz w:val="22"/>
          <w:szCs w:val="22"/>
        </w:rPr>
        <w:t xml:space="preserve">The question should be disciplinarily appropriate — a history question asks about causation, change, significance, or perspective; a philosophy question asks about validity, justification, or value</w:t>
      </w:r>
    </w:p>
    <w:p>
      <w:pPr>
        <w:pStyle w:val="ListParagraph"/>
        <w:numPr>
          <w:ilvl w:val="0"/>
          <w:numId w:val="3"/>
        </w:numPr>
        <w:spacing w:after="40" w:before="40"/>
      </w:pPr>
      <w:r>
        <w:rPr>
          <w:rFonts w:ascii="Georgia" w:cs="Georgia" w:eastAsia="Georgia" w:hAnsi="Georgia"/>
          <w:sz w:val="22"/>
          <w:szCs w:val="22"/>
        </w:rPr>
        <w:t xml:space="preserve">Students should be able to articulate, even before beginning the inquiry, what kinds of evidence would be relevant to answering the question</w:t>
      </w:r>
    </w:p>
    <w:p>
      <w:pPr>
        <w:spacing w:after="120" w:before="0"/>
      </w:pPr>
      <w:r>
        <w:t xml:space="preserve"/>
      </w:r>
    </w:p>
    <w:p>
      <w:pPr>
        <w:pStyle w:val="Heading3"/>
        <w:spacing w:after="80" w:before="280"/>
      </w:pPr>
      <w:r>
        <w:rPr>
          <w:rFonts w:ascii="Georgia" w:cs="Georgia" w:eastAsia="Georgia" w:hAnsi="Georgia"/>
          <w:b/>
          <w:bCs/>
          <w:color w:val="8B6914"/>
          <w:sz w:val="24"/>
          <w:szCs w:val="24"/>
        </w:rPr>
        <w:t xml:space="preserve">Common mistakes in the Question stage:</w:t>
      </w:r>
    </w:p>
    <w:p>
      <w:pPr>
        <w:pStyle w:val="ListParagraph"/>
        <w:numPr>
          <w:ilvl w:val="0"/>
          <w:numId w:val="3"/>
        </w:numPr>
        <w:spacing w:after="40" w:before="40"/>
      </w:pPr>
      <w:r>
        <w:rPr>
          <w:rFonts w:ascii="Georgia" w:cs="Georgia" w:eastAsia="Georgia" w:hAnsi="Georgia"/>
          <w:sz w:val="22"/>
          <w:szCs w:val="22"/>
        </w:rPr>
        <w:t xml:space="preserve">Treating question-framing as a formality and moving immediately to content — the question should be returned to repeatedly throughout the inquiry</w:t>
      </w:r>
    </w:p>
    <w:p>
      <w:pPr>
        <w:pStyle w:val="ListParagraph"/>
        <w:numPr>
          <w:ilvl w:val="0"/>
          <w:numId w:val="3"/>
        </w:numPr>
        <w:spacing w:after="40" w:before="40"/>
      </w:pPr>
      <w:r>
        <w:rPr>
          <w:rFonts w:ascii="Georgia" w:cs="Georgia" w:eastAsia="Georgia" w:hAnsi="Georgia"/>
          <w:sz w:val="22"/>
          <w:szCs w:val="22"/>
        </w:rPr>
        <w:t xml:space="preserve">Framing questions that are too broad ('How has war shaped history?') or too narrow ('What happened at Gallipoli on 25 April 1915?')</w:t>
      </w:r>
    </w:p>
    <w:p>
      <w:pPr>
        <w:pStyle w:val="ListParagraph"/>
        <w:numPr>
          <w:ilvl w:val="0"/>
          <w:numId w:val="3"/>
        </w:numPr>
        <w:spacing w:after="40" w:before="40"/>
      </w:pPr>
      <w:r>
        <w:rPr>
          <w:rFonts w:ascii="Georgia" w:cs="Georgia" w:eastAsia="Georgia" w:hAnsi="Georgia"/>
          <w:sz w:val="22"/>
          <w:szCs w:val="22"/>
        </w:rPr>
        <w:t xml:space="preserve">Confusing a topic with a question — 'The causes of the French Revolution' is a topic; 'Why did the French Revolution occur when it did, despite decades of existing social inequality?' is a question</w:t>
      </w:r>
    </w:p>
    <w:p>
      <w:pPr>
        <w:pStyle w:val="ListParagraph"/>
        <w:numPr>
          <w:ilvl w:val="0"/>
          <w:numId w:val="3"/>
        </w:numPr>
        <w:spacing w:after="40" w:before="40"/>
      </w:pPr>
      <w:r>
        <w:rPr>
          <w:rFonts w:ascii="Georgia" w:cs="Georgia" w:eastAsia="Georgia" w:hAnsi="Georgia"/>
          <w:sz w:val="22"/>
          <w:szCs w:val="22"/>
        </w:rPr>
        <w:t xml:space="preserve">Neglecting the metacognitive dimension — students should be able to say not only what their question is, but why it is a good question</w:t>
      </w:r>
    </w:p>
    <w:p>
      <w:pPr>
        <w:spacing w:after="160" w:before="0"/>
      </w:pPr>
      <w:r>
        <w:t xml:space="preserve"/>
      </w:r>
    </w:p>
    <w:p>
      <w:pPr>
        <w:pStyle w:val="Heading2"/>
        <w:spacing w:after="120" w:before="360"/>
      </w:pPr>
      <w:r>
        <w:rPr>
          <w:rFonts w:ascii="Georgia" w:cs="Georgia" w:eastAsia="Georgia" w:hAnsi="Georgia"/>
          <w:b/>
          <w:bCs/>
          <w:color w:val="1A2A4A"/>
          <w:sz w:val="28"/>
          <w:szCs w:val="28"/>
        </w:rPr>
        <w:t xml:space="preserve">4.2  U — Unpack: Building the Knowledge Base</w:t>
      </w:r>
    </w:p>
    <w:tbl>
      <w:tblPr>
        <w:tblW w:type="dxa" w:w="8709"/>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1568"/>
        <w:gridCol w:w="7141"/>
      </w:tblGrid>
      <w:tr>
        <w:tc>
          <w:tcPr>
            <w:tcW w:type="dxa" w:w="1568"/>
            <w:tcBorders>
              <w:top w:val="none" w:color="FFFFFF" w:sz="0"/>
              <w:left w:val="none" w:color="FFFFFF" w:sz="0"/>
              <w:bottom w:val="none" w:color="FFFFFF" w:sz="0"/>
              <w:right w:val="none" w:color="FFFFFF" w:sz="0"/>
            </w:tcBorders>
            <w:shd w:fill="1B5B8C" w:val="clear"/>
            <w:tcMar>
              <w:top w:type="dxa" w:w="160"/>
              <w:left w:type="dxa" w:w="160"/>
              <w:bottom w:type="dxa" w:w="160"/>
              <w:right w:type="dxa" w:w="160"/>
            </w:tcMar>
            <w:vAlign w:val="center"/>
          </w:tcPr>
          <w:p>
            <w:pPr>
              <w:jc w:val="center"/>
            </w:pPr>
            <w:r>
              <w:rPr>
                <w:rFonts w:ascii="Georgia" w:cs="Georgia" w:eastAsia="Georgia" w:hAnsi="Georgia"/>
                <w:b/>
                <w:bCs/>
                <w:color w:val="FFFFFF"/>
                <w:sz w:val="64"/>
                <w:szCs w:val="64"/>
              </w:rPr>
              <w:t xml:space="preserve">U</w:t>
            </w:r>
          </w:p>
          <w:p>
            <w:pPr>
              <w:jc w:val="center"/>
            </w:pPr>
            <w:r>
              <w:rPr>
                <w:rFonts w:ascii="Georgia" w:cs="Georgia" w:eastAsia="Georgia" w:hAnsi="Georgia"/>
                <w:b/>
                <w:bCs/>
                <w:color w:val="FFFFFF"/>
                <w:sz w:val="20"/>
                <w:szCs w:val="20"/>
              </w:rPr>
              <w:t xml:space="preserve">Unpack</w:t>
            </w:r>
          </w:p>
        </w:tc>
        <w:tc>
          <w:tcPr>
            <w:tcW w:type="dxa" w:w="7141"/>
            <w:tcBorders>
              <w:top w:val="none" w:color="FFFFFF" w:sz="0"/>
              <w:left w:val="none" w:color="FFFFFF" w:sz="0"/>
              <w:bottom w:val="none" w:color="FFFFFF" w:sz="0"/>
              <w:right w:val="none" w:color="FFFFFF" w:sz="0"/>
            </w:tcBorders>
            <w:shd w:fill="F2F2F2" w:val="clear"/>
            <w:tcMar>
              <w:top w:type="dxa" w:w="160"/>
              <w:left w:type="dxa" w:w="200"/>
              <w:bottom w:type="dxa" w:w="160"/>
              <w:right w:type="dxa" w:w="200"/>
            </w:tcMar>
          </w:tcPr>
          <w:p>
            <w:pPr>
              <w:spacing w:after="80" w:before="0"/>
            </w:pPr>
            <w:r>
              <w:rPr>
                <w:rFonts w:ascii="Georgia" w:cs="Georgia" w:eastAsia="Georgia" w:hAnsi="Georgia"/>
                <w:b/>
                <w:bCs/>
                <w:i/>
                <w:iCs/>
                <w:color w:val="1B5B8C"/>
                <w:sz w:val="22"/>
                <w:szCs w:val="22"/>
              </w:rPr>
              <w:t xml:space="preserve">Build the contextual, conceptual, and factual knowledge needed to engage with evidence.</w:t>
            </w:r>
          </w:p>
          <w:p>
            <w:pPr>
              <w:spacing w:after="80" w:before="0"/>
              <w:jc w:val="both"/>
            </w:pPr>
            <w:r>
              <w:rPr>
                <w:rFonts w:ascii="Georgia" w:cs="Georgia" w:eastAsia="Georgia" w:hAnsi="Georgia"/>
                <w:color w:val="111111"/>
                <w:sz w:val="20"/>
                <w:szCs w:val="20"/>
              </w:rPr>
              <w:t xml:space="preserve">The Unpack stage is often the most cognitively undervalued. It corresponds to the Bloom's Taxonomy levels of Remember and Understand — and because these are 'lower-order' in the hierarchy, there is sometimes a temptation to rush past them in pursuit of the more glamorous work of analysis and argument. This is a serious pedagogical mistake. No student can critically evaluate a source they do not understand in its context, or construct an argument about causes they have not yet grasped.</w:t>
            </w:r>
          </w:p>
          <w:p>
            <w:pPr>
              <w:spacing w:after="80" w:before="0"/>
              <w:jc w:val="both"/>
            </w:pPr>
            <w:r>
              <w:rPr>
                <w:rFonts w:ascii="Georgia" w:cs="Georgia" w:eastAsia="Georgia" w:hAnsi="Georgia"/>
                <w:color w:val="111111"/>
                <w:sz w:val="20"/>
                <w:szCs w:val="20"/>
              </w:rPr>
              <w:t xml:space="preserve">Drawing on constructivist principles, the Unpack stage serves a double function: it builds new knowledge (the facts, concepts, chronology, and vocabulary that the inquiry requires), and it connects that new knowledge to what students already know (activating prior knowledge as the foundation for new learning). In Vygotsky's terms, it establishes the zone of proximal development within which the subsequent stages will operate.</w:t>
            </w:r>
          </w:p>
          <w:p>
            <w:pPr>
              <w:spacing w:after="80" w:before="0"/>
              <w:jc w:val="both"/>
            </w:pPr>
            <w:r>
              <w:rPr>
                <w:rFonts w:ascii="Georgia" w:cs="Georgia" w:eastAsia="Georgia" w:hAnsi="Georgia"/>
                <w:color w:val="111111"/>
                <w:sz w:val="20"/>
                <w:szCs w:val="20"/>
              </w:rPr>
              <w:t xml:space="preserve">In practice, Unpack looks different across disciplines. In Ancient History, it involves building chronological and geographical context, establishing who the key figures are and what the key events were, and learning the vocabulary of the period (strategos, polis, pharaoh, cuneiform). In Economics, it involves learning key concepts and their formal definitions — what supply and demand actually mean, what a price elasticity calculation involves, what the assumptions of a particular economic model are. In Philosophy, it involves mapping the landscape of positions relevant to the inquiry question — identifying the major arguments, the key thinkers, and the technical vocabulary (deontology, utility, categorical imperative) before attempting to evaluate them.</w:t>
            </w:r>
          </w:p>
        </w:tc>
      </w:tr>
    </w:tbl>
    <w:p>
      <w:pPr>
        <w:spacing w:after="80" w:before="0"/>
      </w:pPr>
      <w:r>
        <w:t xml:space="preserve"/>
      </w:r>
    </w:p>
    <w:p>
      <w:pPr>
        <w:pStyle w:val="Heading3"/>
        <w:spacing w:after="80" w:before="280"/>
      </w:pPr>
      <w:r>
        <w:rPr>
          <w:rFonts w:ascii="Georgia" w:cs="Georgia" w:eastAsia="Georgia" w:hAnsi="Georgia"/>
          <w:b/>
          <w:bCs/>
          <w:color w:val="8B6914"/>
          <w:sz w:val="24"/>
          <w:szCs w:val="24"/>
        </w:rPr>
        <w:t xml:space="preserve">What teachers should look for in the Unpack stage:</w:t>
      </w:r>
    </w:p>
    <w:p>
      <w:pPr>
        <w:pStyle w:val="ListParagraph"/>
        <w:numPr>
          <w:ilvl w:val="0"/>
          <w:numId w:val="3"/>
        </w:numPr>
        <w:spacing w:after="40" w:before="40"/>
      </w:pPr>
      <w:r>
        <w:rPr>
          <w:rFonts w:ascii="Georgia" w:cs="Georgia" w:eastAsia="Georgia" w:hAnsi="Georgia"/>
          <w:sz w:val="22"/>
          <w:szCs w:val="22"/>
        </w:rPr>
        <w:t xml:space="preserve">Students can accurately define and use the key vocabulary of the inquiry without error</w:t>
      </w:r>
    </w:p>
    <w:p>
      <w:pPr>
        <w:pStyle w:val="ListParagraph"/>
        <w:numPr>
          <w:ilvl w:val="0"/>
          <w:numId w:val="3"/>
        </w:numPr>
        <w:spacing w:after="40" w:before="40"/>
      </w:pPr>
      <w:r>
        <w:rPr>
          <w:rFonts w:ascii="Georgia" w:cs="Georgia" w:eastAsia="Georgia" w:hAnsi="Georgia"/>
          <w:sz w:val="22"/>
          <w:szCs w:val="22"/>
        </w:rPr>
        <w:t xml:space="preserve">Students can situate the topic in its relevant context (historical, geographical, theoretical, or disciplinary)</w:t>
      </w:r>
    </w:p>
    <w:p>
      <w:pPr>
        <w:pStyle w:val="ListParagraph"/>
        <w:numPr>
          <w:ilvl w:val="0"/>
          <w:numId w:val="3"/>
        </w:numPr>
        <w:spacing w:after="40" w:before="40"/>
      </w:pPr>
      <w:r>
        <w:rPr>
          <w:rFonts w:ascii="Georgia" w:cs="Georgia" w:eastAsia="Georgia" w:hAnsi="Georgia"/>
          <w:sz w:val="22"/>
          <w:szCs w:val="22"/>
        </w:rPr>
        <w:t xml:space="preserve">Students can identify the key figures, events, texts, or concepts that will be central to the Examine stage</w:t>
      </w:r>
    </w:p>
    <w:p>
      <w:pPr>
        <w:pStyle w:val="ListParagraph"/>
        <w:numPr>
          <w:ilvl w:val="0"/>
          <w:numId w:val="3"/>
        </w:numPr>
        <w:spacing w:after="40" w:before="40"/>
      </w:pPr>
      <w:r>
        <w:rPr>
          <w:rFonts w:ascii="Georgia" w:cs="Georgia" w:eastAsia="Georgia" w:hAnsi="Georgia"/>
          <w:sz w:val="22"/>
          <w:szCs w:val="22"/>
        </w:rPr>
        <w:t xml:space="preserve">Students can articulate what they still need to know — the Unpack stage should generate specific intellectual questions, not the impression that everything is now understood</w:t>
      </w:r>
    </w:p>
    <w:p>
      <w:pPr>
        <w:spacing w:after="120" w:before="0"/>
      </w:pPr>
      <w:r>
        <w:t xml:space="preserve"/>
      </w:r>
    </w:p>
    <w:p>
      <w:pPr>
        <w:pStyle w:val="Heading3"/>
        <w:spacing w:after="80" w:before="280"/>
      </w:pPr>
      <w:r>
        <w:rPr>
          <w:rFonts w:ascii="Georgia" w:cs="Georgia" w:eastAsia="Georgia" w:hAnsi="Georgia"/>
          <w:b/>
          <w:bCs/>
          <w:color w:val="8B6914"/>
          <w:sz w:val="24"/>
          <w:szCs w:val="24"/>
        </w:rPr>
        <w:t xml:space="preserve">Common mistakes in the Unpack stage:</w:t>
      </w:r>
    </w:p>
    <w:p>
      <w:pPr>
        <w:pStyle w:val="ListParagraph"/>
        <w:numPr>
          <w:ilvl w:val="0"/>
          <w:numId w:val="3"/>
        </w:numPr>
        <w:spacing w:after="40" w:before="40"/>
      </w:pPr>
      <w:r>
        <w:rPr>
          <w:rFonts w:ascii="Georgia" w:cs="Georgia" w:eastAsia="Georgia" w:hAnsi="Georgia"/>
          <w:sz w:val="22"/>
          <w:szCs w:val="22"/>
        </w:rPr>
        <w:t xml:space="preserve">Conflating Unpack with Examine — building knowledge about what historians say is Unpack; critically evaluating whether those historians are correct is Examine</w:t>
      </w:r>
    </w:p>
    <w:p>
      <w:pPr>
        <w:pStyle w:val="ListParagraph"/>
        <w:numPr>
          <w:ilvl w:val="0"/>
          <w:numId w:val="3"/>
        </w:numPr>
        <w:spacing w:after="40" w:before="40"/>
      </w:pPr>
      <w:r>
        <w:rPr>
          <w:rFonts w:ascii="Georgia" w:cs="Georgia" w:eastAsia="Georgia" w:hAnsi="Georgia"/>
          <w:sz w:val="22"/>
          <w:szCs w:val="22"/>
        </w:rPr>
        <w:t xml:space="preserve">Skimping on conceptual vocabulary — students who do not have command of key terms will produce responses that are vague and imprecise, no matter how sophisticated their thinking</w:t>
      </w:r>
    </w:p>
    <w:p>
      <w:pPr>
        <w:pStyle w:val="ListParagraph"/>
        <w:numPr>
          <w:ilvl w:val="0"/>
          <w:numId w:val="3"/>
        </w:numPr>
        <w:spacing w:after="40" w:before="40"/>
      </w:pPr>
      <w:r>
        <w:rPr>
          <w:rFonts w:ascii="Georgia" w:cs="Georgia" w:eastAsia="Georgia" w:hAnsi="Georgia"/>
          <w:sz w:val="22"/>
          <w:szCs w:val="22"/>
        </w:rPr>
        <w:t xml:space="preserve">Moving to Examine before students have sufficient context — analysis of a primary source by a student who does not know the basic chronology of the period is guesswork, not scholarship</w:t>
      </w:r>
    </w:p>
    <w:p>
      <w:pPr>
        <w:pStyle w:val="ListParagraph"/>
        <w:numPr>
          <w:ilvl w:val="0"/>
          <w:numId w:val="3"/>
        </w:numPr>
        <w:spacing w:after="40" w:before="40"/>
      </w:pPr>
      <w:r>
        <w:rPr>
          <w:rFonts w:ascii="Georgia" w:cs="Georgia" w:eastAsia="Georgia" w:hAnsi="Georgia"/>
          <w:sz w:val="22"/>
          <w:szCs w:val="22"/>
        </w:rPr>
        <w:t xml:space="preserve">Using the Unpack stage as an extended lecture — it should be active and student-centred, using note-making, timelines, concept maps, and discussion to build and consolidate knowledge</w:t>
      </w:r>
    </w:p>
    <w:p>
      <w:pPr>
        <w:spacing w:after="160" w:before="0"/>
      </w:pPr>
      <w:r>
        <w:t xml:space="preserve"/>
      </w:r>
    </w:p>
    <w:p>
      <w:pPr>
        <w:pStyle w:val="Heading2"/>
        <w:spacing w:after="120" w:before="360"/>
      </w:pPr>
      <w:r>
        <w:rPr>
          <w:rFonts w:ascii="Georgia" w:cs="Georgia" w:eastAsia="Georgia" w:hAnsi="Georgia"/>
          <w:b/>
          <w:bCs/>
          <w:color w:val="1A2A4A"/>
          <w:sz w:val="28"/>
          <w:szCs w:val="28"/>
        </w:rPr>
        <w:t xml:space="preserve">4.3  E — Examine: Critical Analysis</w:t>
      </w:r>
    </w:p>
    <w:tbl>
      <w:tblPr>
        <w:tblW w:type="dxa" w:w="8709"/>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1568"/>
        <w:gridCol w:w="7141"/>
      </w:tblGrid>
      <w:tr>
        <w:tc>
          <w:tcPr>
            <w:tcW w:type="dxa" w:w="1568"/>
            <w:tcBorders>
              <w:top w:val="none" w:color="FFFFFF" w:sz="0"/>
              <w:left w:val="none" w:color="FFFFFF" w:sz="0"/>
              <w:bottom w:val="none" w:color="FFFFFF" w:sz="0"/>
              <w:right w:val="none" w:color="FFFFFF" w:sz="0"/>
            </w:tcBorders>
            <w:shd w:fill="7B2D8B" w:val="clear"/>
            <w:tcMar>
              <w:top w:type="dxa" w:w="160"/>
              <w:left w:type="dxa" w:w="160"/>
              <w:bottom w:type="dxa" w:w="160"/>
              <w:right w:type="dxa" w:w="160"/>
            </w:tcMar>
            <w:vAlign w:val="center"/>
          </w:tcPr>
          <w:p>
            <w:pPr>
              <w:jc w:val="center"/>
            </w:pPr>
            <w:r>
              <w:rPr>
                <w:rFonts w:ascii="Georgia" w:cs="Georgia" w:eastAsia="Georgia" w:hAnsi="Georgia"/>
                <w:b/>
                <w:bCs/>
                <w:color w:val="FFFFFF"/>
                <w:sz w:val="64"/>
                <w:szCs w:val="64"/>
              </w:rPr>
              <w:t xml:space="preserve">E</w:t>
            </w:r>
          </w:p>
          <w:p>
            <w:pPr>
              <w:jc w:val="center"/>
            </w:pPr>
            <w:r>
              <w:rPr>
                <w:rFonts w:ascii="Georgia" w:cs="Georgia" w:eastAsia="Georgia" w:hAnsi="Georgia"/>
                <w:b/>
                <w:bCs/>
                <w:color w:val="FFFFFF"/>
                <w:sz w:val="20"/>
                <w:szCs w:val="20"/>
              </w:rPr>
              <w:t xml:space="preserve">Examine</w:t>
            </w:r>
          </w:p>
        </w:tc>
        <w:tc>
          <w:tcPr>
            <w:tcW w:type="dxa" w:w="7141"/>
            <w:tcBorders>
              <w:top w:val="none" w:color="FFFFFF" w:sz="0"/>
              <w:left w:val="none" w:color="FFFFFF" w:sz="0"/>
              <w:bottom w:val="none" w:color="FFFFFF" w:sz="0"/>
              <w:right w:val="none" w:color="FFFFFF" w:sz="0"/>
            </w:tcBorders>
            <w:shd w:fill="F2F2F2" w:val="clear"/>
            <w:tcMar>
              <w:top w:type="dxa" w:w="160"/>
              <w:left w:type="dxa" w:w="200"/>
              <w:bottom w:type="dxa" w:w="160"/>
              <w:right w:type="dxa" w:w="200"/>
            </w:tcMar>
          </w:tcPr>
          <w:p>
            <w:pPr>
              <w:spacing w:after="80" w:before="0"/>
            </w:pPr>
            <w:r>
              <w:rPr>
                <w:rFonts w:ascii="Georgia" w:cs="Georgia" w:eastAsia="Georgia" w:hAnsi="Georgia"/>
                <w:b/>
                <w:bCs/>
                <w:i/>
                <w:iCs/>
                <w:color w:val="7B2D8B"/>
                <w:sz w:val="22"/>
                <w:szCs w:val="22"/>
              </w:rPr>
              <w:t xml:space="preserve">Critically analyse discipline-appropriate sources, data, arguments, or texts.</w:t>
            </w:r>
          </w:p>
          <w:p>
            <w:pPr>
              <w:spacing w:after="80" w:before="0"/>
              <w:jc w:val="both"/>
            </w:pPr>
            <w:r>
              <w:rPr>
                <w:rFonts w:ascii="Georgia" w:cs="Georgia" w:eastAsia="Georgia" w:hAnsi="Georgia"/>
                <w:color w:val="111111"/>
                <w:sz w:val="20"/>
                <w:szCs w:val="20"/>
              </w:rPr>
              <w:t xml:space="preserve">The Examine stage is the intellectual heart of the QUEST framework and the stage most closely aligned with the distinctive practices of each discipline. Here, students move from knowing about evidence to working with evidence — from having learned what historians argue to evaluating whether those arguments are sound; from having studied economic data to analysing what that data reveals and conceals; from having read a philosophical position to assessing its logical validity and the strength of the objections it must face.</w:t>
            </w:r>
          </w:p>
          <w:p>
            <w:pPr>
              <w:spacing w:after="80" w:before="0"/>
              <w:jc w:val="both"/>
            </w:pPr>
            <w:r>
              <w:rPr>
                <w:rFonts w:ascii="Georgia" w:cs="Georgia" w:eastAsia="Georgia" w:hAnsi="Georgia"/>
                <w:color w:val="111111"/>
                <w:sz w:val="20"/>
                <w:szCs w:val="20"/>
              </w:rPr>
              <w:t xml:space="preserve">Drawing directly on the disciplinary literacy tradition of Shanahan and Shanahan, the Examine stage insists that 'critical analysis' is not a generic skill but a discipline-specific practice. In Ancient History, it means applying source analysis skills — attending to the origin, purpose, content, and limitations of fragmentary ancient evidence, and weighing that evidence against the interpretive claims of modern scholars. In Economics, it means analysing quantitative and qualitative data — reading graphs, evaluating models, identifying the assumptions that underlie economic arguments, and considering what is left out of a given account. In Philosophy, it means reconstructing arguments in their strongest possible form, identifying premises, evaluating logical validity and soundness, and engaging with counter-arguments with genuine seriousness.</w:t>
            </w:r>
          </w:p>
          <w:p>
            <w:pPr>
              <w:spacing w:after="80" w:before="0"/>
              <w:jc w:val="both"/>
            </w:pPr>
            <w:r>
              <w:rPr>
                <w:rFonts w:ascii="Georgia" w:cs="Georgia" w:eastAsia="Georgia" w:hAnsi="Georgia"/>
                <w:color w:val="111111"/>
                <w:sz w:val="20"/>
                <w:szCs w:val="20"/>
              </w:rPr>
              <w:t xml:space="preserve">The Examine stage also corresponds to the Bloom's Taxonomy levels of Analyse and Evaluate — the stages at which students are not merely processing information but making judgements about it. This is cognitively demanding work, and it requires sustained scaffolding. Students will not become critical analysts by being told to 'be more analytical'. They need to be shown what analysis looks like in practice, given the language of analysis (the source suggests..., this evidence is limited because..., the argument assumes..., the counter-argument would be...), and provided with structured opportunities to practise.</w:t>
            </w:r>
          </w:p>
        </w:tc>
      </w:tr>
    </w:tbl>
    <w:p>
      <w:pPr>
        <w:spacing w:after="80" w:before="0"/>
      </w:pPr>
      <w:r>
        <w:t xml:space="preserve"/>
      </w:r>
    </w:p>
    <w:p>
      <w:pPr>
        <w:pStyle w:val="Heading3"/>
        <w:spacing w:after="80" w:before="280"/>
      </w:pPr>
      <w:r>
        <w:rPr>
          <w:rFonts w:ascii="Georgia" w:cs="Georgia" w:eastAsia="Georgia" w:hAnsi="Georgia"/>
          <w:b/>
          <w:bCs/>
          <w:color w:val="8B6914"/>
          <w:sz w:val="24"/>
          <w:szCs w:val="24"/>
        </w:rPr>
        <w:t xml:space="preserve">What teachers should look for in the Examine stage:</w:t>
      </w:r>
    </w:p>
    <w:p>
      <w:pPr>
        <w:pStyle w:val="ListParagraph"/>
        <w:numPr>
          <w:ilvl w:val="0"/>
          <w:numId w:val="3"/>
        </w:numPr>
        <w:spacing w:after="40" w:before="40"/>
      </w:pPr>
      <w:r>
        <w:rPr>
          <w:rFonts w:ascii="Georgia" w:cs="Georgia" w:eastAsia="Georgia" w:hAnsi="Georgia"/>
          <w:sz w:val="22"/>
          <w:szCs w:val="22"/>
        </w:rPr>
        <w:t xml:space="preserve">Students are engaging with primary evidence or primary texts, not only with secondary summaries</w:t>
      </w:r>
    </w:p>
    <w:p>
      <w:pPr>
        <w:pStyle w:val="ListParagraph"/>
        <w:numPr>
          <w:ilvl w:val="0"/>
          <w:numId w:val="3"/>
        </w:numPr>
        <w:spacing w:after="40" w:before="40"/>
      </w:pPr>
      <w:r>
        <w:rPr>
          <w:rFonts w:ascii="Georgia" w:cs="Georgia" w:eastAsia="Georgia" w:hAnsi="Georgia"/>
          <w:sz w:val="22"/>
          <w:szCs w:val="22"/>
        </w:rPr>
        <w:t xml:space="preserve">Students are applying discipline-specific analytical practices — sourcing and corroboration in history; close reading and theoretical application in literature; logical reconstruction in philosophy; data literacy in economics</w:t>
      </w:r>
    </w:p>
    <w:p>
      <w:pPr>
        <w:pStyle w:val="ListParagraph"/>
        <w:numPr>
          <w:ilvl w:val="0"/>
          <w:numId w:val="3"/>
        </w:numPr>
        <w:spacing w:after="40" w:before="40"/>
      </w:pPr>
      <w:r>
        <w:rPr>
          <w:rFonts w:ascii="Georgia" w:cs="Georgia" w:eastAsia="Georgia" w:hAnsi="Georgia"/>
          <w:sz w:val="22"/>
          <w:szCs w:val="22"/>
        </w:rPr>
        <w:t xml:space="preserve">Students are evaluating evidence rather than merely describing it — asking not only 'what does this source say?' but 'why should I believe it?' and 'what does it not tell me?'</w:t>
      </w:r>
    </w:p>
    <w:p>
      <w:pPr>
        <w:pStyle w:val="ListParagraph"/>
        <w:numPr>
          <w:ilvl w:val="0"/>
          <w:numId w:val="3"/>
        </w:numPr>
        <w:spacing w:after="40" w:before="40"/>
      </w:pPr>
      <w:r>
        <w:rPr>
          <w:rFonts w:ascii="Georgia" w:cs="Georgia" w:eastAsia="Georgia" w:hAnsi="Georgia"/>
          <w:sz w:val="22"/>
          <w:szCs w:val="22"/>
        </w:rPr>
        <w:t xml:space="preserve">Students are encountering multiple perspectives and can articulate the strongest case for each, not merely the one they find most congenial</w:t>
      </w:r>
    </w:p>
    <w:p>
      <w:pPr>
        <w:spacing w:after="120" w:before="0"/>
      </w:pPr>
      <w:r>
        <w:t xml:space="preserve"/>
      </w:r>
    </w:p>
    <w:p>
      <w:pPr>
        <w:pStyle w:val="Heading3"/>
        <w:spacing w:after="80" w:before="280"/>
      </w:pPr>
      <w:r>
        <w:rPr>
          <w:rFonts w:ascii="Georgia" w:cs="Georgia" w:eastAsia="Georgia" w:hAnsi="Georgia"/>
          <w:b/>
          <w:bCs/>
          <w:color w:val="8B6914"/>
          <w:sz w:val="24"/>
          <w:szCs w:val="24"/>
        </w:rPr>
        <w:t xml:space="preserve">Common mistakes in the Examine stage:</w:t>
      </w:r>
    </w:p>
    <w:p>
      <w:pPr>
        <w:pStyle w:val="ListParagraph"/>
        <w:numPr>
          <w:ilvl w:val="0"/>
          <w:numId w:val="3"/>
        </w:numPr>
        <w:spacing w:after="40" w:before="40"/>
      </w:pPr>
      <w:r>
        <w:rPr>
          <w:rFonts w:ascii="Georgia" w:cs="Georgia" w:eastAsia="Georgia" w:hAnsi="Georgia"/>
          <w:sz w:val="22"/>
          <w:szCs w:val="22"/>
        </w:rPr>
        <w:t xml:space="preserve">Treating source analysis as box-ticking (origin ✓, purpose ✓, limitation ✓) without genuine engagement with the content and significance of the source</w:t>
      </w:r>
    </w:p>
    <w:p>
      <w:pPr>
        <w:pStyle w:val="ListParagraph"/>
        <w:numPr>
          <w:ilvl w:val="0"/>
          <w:numId w:val="3"/>
        </w:numPr>
        <w:spacing w:after="40" w:before="40"/>
      </w:pPr>
      <w:r>
        <w:rPr>
          <w:rFonts w:ascii="Georgia" w:cs="Georgia" w:eastAsia="Georgia" w:hAnsi="Georgia"/>
          <w:sz w:val="22"/>
          <w:szCs w:val="22"/>
        </w:rPr>
        <w:t xml:space="preserve">Confusing description with analysis — 'The source says that Hitler was a powerful speaker' is description; 'This observation is significant because it suggests that Nazism's appeal was partly performative rather than ideological' is analysis</w:t>
      </w:r>
    </w:p>
    <w:p>
      <w:pPr>
        <w:pStyle w:val="ListParagraph"/>
        <w:numPr>
          <w:ilvl w:val="0"/>
          <w:numId w:val="3"/>
        </w:numPr>
        <w:spacing w:after="40" w:before="40"/>
      </w:pPr>
      <w:r>
        <w:rPr>
          <w:rFonts w:ascii="Georgia" w:cs="Georgia" w:eastAsia="Georgia" w:hAnsi="Georgia"/>
          <w:sz w:val="22"/>
          <w:szCs w:val="22"/>
        </w:rPr>
        <w:t xml:space="preserve">Neglecting counter-evidence — genuine examination requires students to engage seriously with evidence that complicates or contradicts their emerging position, not only evidence that supports it</w:t>
      </w:r>
    </w:p>
    <w:p>
      <w:pPr>
        <w:pStyle w:val="ListParagraph"/>
        <w:numPr>
          <w:ilvl w:val="0"/>
          <w:numId w:val="3"/>
        </w:numPr>
        <w:spacing w:after="40" w:before="40"/>
      </w:pPr>
      <w:r>
        <w:rPr>
          <w:rFonts w:ascii="Georgia" w:cs="Georgia" w:eastAsia="Georgia" w:hAnsi="Georgia"/>
          <w:sz w:val="22"/>
          <w:szCs w:val="22"/>
        </w:rPr>
        <w:t xml:space="preserve">Skipping the Examine stage and moving directly from Unpack to Synthesise — producing arguments that are unsupported by evidence, or supported only by the secondary material built up in Unpack</w:t>
      </w:r>
    </w:p>
    <w:p>
      <w:pPr>
        <w:spacing w:after="160" w:before="0"/>
      </w:pPr>
      <w:r>
        <w:t xml:space="preserve"/>
      </w:r>
    </w:p>
    <w:p>
      <w:pPr>
        <w:pStyle w:val="Heading2"/>
        <w:spacing w:after="120" w:before="360"/>
      </w:pPr>
      <w:r>
        <w:rPr>
          <w:rFonts w:ascii="Georgia" w:cs="Georgia" w:eastAsia="Georgia" w:hAnsi="Georgia"/>
          <w:b/>
          <w:bCs/>
          <w:color w:val="1A2A4A"/>
          <w:sz w:val="28"/>
          <w:szCs w:val="28"/>
        </w:rPr>
        <w:t xml:space="preserve">4.4  S — Synthesise: Constructing an Argument</w:t>
      </w:r>
    </w:p>
    <w:tbl>
      <w:tblPr>
        <w:tblW w:type="dxa" w:w="8709"/>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1568"/>
        <w:gridCol w:w="7141"/>
      </w:tblGrid>
      <w:tr>
        <w:tc>
          <w:tcPr>
            <w:tcW w:type="dxa" w:w="1568"/>
            <w:tcBorders>
              <w:top w:val="none" w:color="FFFFFF" w:sz="0"/>
              <w:left w:val="none" w:color="FFFFFF" w:sz="0"/>
              <w:bottom w:val="none" w:color="FFFFFF" w:sz="0"/>
              <w:right w:val="none" w:color="FFFFFF" w:sz="0"/>
            </w:tcBorders>
            <w:shd w:fill="B85C00" w:val="clear"/>
            <w:tcMar>
              <w:top w:type="dxa" w:w="160"/>
              <w:left w:type="dxa" w:w="160"/>
              <w:bottom w:type="dxa" w:w="160"/>
              <w:right w:type="dxa" w:w="160"/>
            </w:tcMar>
            <w:vAlign w:val="center"/>
          </w:tcPr>
          <w:p>
            <w:pPr>
              <w:jc w:val="center"/>
            </w:pPr>
            <w:r>
              <w:rPr>
                <w:rFonts w:ascii="Georgia" w:cs="Georgia" w:eastAsia="Georgia" w:hAnsi="Georgia"/>
                <w:b/>
                <w:bCs/>
                <w:color w:val="FFFFFF"/>
                <w:sz w:val="64"/>
                <w:szCs w:val="64"/>
              </w:rPr>
              <w:t xml:space="preserve">S</w:t>
            </w:r>
          </w:p>
          <w:p>
            <w:pPr>
              <w:jc w:val="center"/>
            </w:pPr>
            <w:r>
              <w:rPr>
                <w:rFonts w:ascii="Georgia" w:cs="Georgia" w:eastAsia="Georgia" w:hAnsi="Georgia"/>
                <w:b/>
                <w:bCs/>
                <w:color w:val="FFFFFF"/>
                <w:sz w:val="20"/>
                <w:szCs w:val="20"/>
              </w:rPr>
              <w:t xml:space="preserve">Synthesise</w:t>
            </w:r>
          </w:p>
        </w:tc>
        <w:tc>
          <w:tcPr>
            <w:tcW w:type="dxa" w:w="7141"/>
            <w:tcBorders>
              <w:top w:val="none" w:color="FFFFFF" w:sz="0"/>
              <w:left w:val="none" w:color="FFFFFF" w:sz="0"/>
              <w:bottom w:val="none" w:color="FFFFFF" w:sz="0"/>
              <w:right w:val="none" w:color="FFFFFF" w:sz="0"/>
            </w:tcBorders>
            <w:shd w:fill="F2F2F2" w:val="clear"/>
            <w:tcMar>
              <w:top w:type="dxa" w:w="160"/>
              <w:left w:type="dxa" w:w="200"/>
              <w:bottom w:type="dxa" w:w="160"/>
              <w:right w:type="dxa" w:w="200"/>
            </w:tcMar>
          </w:tcPr>
          <w:p>
            <w:pPr>
              <w:spacing w:after="80" w:before="0"/>
            </w:pPr>
            <w:r>
              <w:rPr>
                <w:rFonts w:ascii="Georgia" w:cs="Georgia" w:eastAsia="Georgia" w:hAnsi="Georgia"/>
                <w:b/>
                <w:bCs/>
                <w:i/>
                <w:iCs/>
                <w:color w:val="B85C00"/>
                <w:sz w:val="22"/>
                <w:szCs w:val="22"/>
              </w:rPr>
              <w:t xml:space="preserve">Construct an evidence-based argument, evaluation, or interpretation.</w:t>
            </w:r>
          </w:p>
          <w:p>
            <w:pPr>
              <w:spacing w:after="80" w:before="0"/>
              <w:jc w:val="both"/>
            </w:pPr>
            <w:r>
              <w:rPr>
                <w:rFonts w:ascii="Georgia" w:cs="Georgia" w:eastAsia="Georgia" w:hAnsi="Georgia"/>
                <w:color w:val="111111"/>
                <w:sz w:val="20"/>
                <w:szCs w:val="20"/>
              </w:rPr>
              <w:t xml:space="preserve">The Synthesise stage is where the intellectual work of the inquiry becomes visible as a coherent whole. Having framed a question, built contextual knowledge, and engaged critically with evidence, students must now do what the humanities have always asked of their best practitioners: take a position. Not a casual opinion, and not a safe recitation of 'on the one hand... on the other hand...', but a defensible claim, supported by evidence, that genuinely responds to the inquiry question.</w:t>
            </w:r>
          </w:p>
          <w:p>
            <w:pPr>
              <w:spacing w:after="80" w:before="0"/>
              <w:jc w:val="both"/>
            </w:pPr>
            <w:r>
              <w:rPr>
                <w:rFonts w:ascii="Georgia" w:cs="Georgia" w:eastAsia="Georgia" w:hAnsi="Georgia"/>
                <w:color w:val="111111"/>
                <w:sz w:val="20"/>
                <w:szCs w:val="20"/>
              </w:rPr>
              <w:t xml:space="preserve">Drawing on the SOLO Taxonomy's distinction between multistructural and relational understanding, the Synthesise stage marks the moment at which multiple pieces of evidence and analysis are integrated into a unified argument rather than presented as a list. A student who has listed five causes of the Great Depression is operating at the multistructural level; a student who has explained how those causes interacted, which was most proximate and which most structural, and why contemporary remedies failed to address the underlying dynamics, is operating at the relational level — and the difference is not in the quantity of their knowledge but in its structure.</w:t>
            </w:r>
          </w:p>
          <w:p>
            <w:pPr>
              <w:spacing w:after="80" w:before="0"/>
              <w:jc w:val="both"/>
            </w:pPr>
            <w:r>
              <w:rPr>
                <w:rFonts w:ascii="Georgia" w:cs="Georgia" w:eastAsia="Georgia" w:hAnsi="Georgia"/>
                <w:color w:val="111111"/>
                <w:sz w:val="20"/>
                <w:szCs w:val="20"/>
              </w:rPr>
              <w:t xml:space="preserve">In the Bloom's Taxonomy framework, Synthesise corresponds to the Create level — the highest cognitive demand, in which students generate something new: a position, an argument, an interpretation. This is not creativity in the artistic sense but in the intellectual sense — the capacity to produce an original and coherent response to a question that does not have a predetermined answer. Crucially, a well-synthesised argument in the humanities is not 'right' or 'wrong' in the way that a scientific calculation is right or wrong. It is more or less defensible — more or less well-supported by evidence, more or less attentive to counter-arguments, more or less logically coherent. This is what humanistic judgment looks like, and it is a form of intellectual rigour, not an absence of it.</w:t>
            </w:r>
          </w:p>
        </w:tc>
      </w:tr>
    </w:tbl>
    <w:p>
      <w:pPr>
        <w:spacing w:after="80" w:before="0"/>
      </w:pPr>
      <w:r>
        <w:t xml:space="preserve"/>
      </w:r>
    </w:p>
    <w:p>
      <w:pPr>
        <w:pStyle w:val="Heading3"/>
        <w:spacing w:after="80" w:before="280"/>
      </w:pPr>
      <w:r>
        <w:rPr>
          <w:rFonts w:ascii="Georgia" w:cs="Georgia" w:eastAsia="Georgia" w:hAnsi="Georgia"/>
          <w:b/>
          <w:bCs/>
          <w:color w:val="8B6914"/>
          <w:sz w:val="24"/>
          <w:szCs w:val="24"/>
        </w:rPr>
        <w:t xml:space="preserve">What teachers should look for in the Synthesise stage:</w:t>
      </w:r>
    </w:p>
    <w:p>
      <w:pPr>
        <w:pStyle w:val="ListParagraph"/>
        <w:numPr>
          <w:ilvl w:val="0"/>
          <w:numId w:val="3"/>
        </w:numPr>
        <w:spacing w:after="40" w:before="40"/>
      </w:pPr>
      <w:r>
        <w:rPr>
          <w:rFonts w:ascii="Georgia" w:cs="Georgia" w:eastAsia="Georgia" w:hAnsi="Georgia"/>
          <w:sz w:val="22"/>
          <w:szCs w:val="22"/>
        </w:rPr>
        <w:t xml:space="preserve">A clear contention or thesis that directly addresses the inquiry question — not a topic sentence but an argument</w:t>
      </w:r>
    </w:p>
    <w:p>
      <w:pPr>
        <w:pStyle w:val="ListParagraph"/>
        <w:numPr>
          <w:ilvl w:val="0"/>
          <w:numId w:val="3"/>
        </w:numPr>
        <w:spacing w:after="40" w:before="40"/>
      </w:pPr>
      <w:r>
        <w:rPr>
          <w:rFonts w:ascii="Georgia" w:cs="Georgia" w:eastAsia="Georgia" w:hAnsi="Georgia"/>
          <w:sz w:val="22"/>
          <w:szCs w:val="22"/>
        </w:rPr>
        <w:t xml:space="preserve">Evidence used to support the argument, not merely listed alongside it — each piece of evidence should be explicitly connected to the claim it supports</w:t>
      </w:r>
    </w:p>
    <w:p>
      <w:pPr>
        <w:pStyle w:val="ListParagraph"/>
        <w:numPr>
          <w:ilvl w:val="0"/>
          <w:numId w:val="3"/>
        </w:numPr>
        <w:spacing w:after="40" w:before="40"/>
      </w:pPr>
      <w:r>
        <w:rPr>
          <w:rFonts w:ascii="Georgia" w:cs="Georgia" w:eastAsia="Georgia" w:hAnsi="Georgia"/>
          <w:sz w:val="22"/>
          <w:szCs w:val="22"/>
        </w:rPr>
        <w:t xml:space="preserve">Acknowledgement of counter-arguments and counter-evidence, with an attempt to address rather than ignore them</w:t>
      </w:r>
    </w:p>
    <w:p>
      <w:pPr>
        <w:pStyle w:val="ListParagraph"/>
        <w:numPr>
          <w:ilvl w:val="0"/>
          <w:numId w:val="3"/>
        </w:numPr>
        <w:spacing w:after="40" w:before="40"/>
      </w:pPr>
      <w:r>
        <w:rPr>
          <w:rFonts w:ascii="Georgia" w:cs="Georgia" w:eastAsia="Georgia" w:hAnsi="Georgia"/>
          <w:sz w:val="22"/>
          <w:szCs w:val="22"/>
        </w:rPr>
        <w:t xml:space="preserve">A logical structure that builds toward a conclusion rather than circling around the topic</w:t>
      </w:r>
    </w:p>
    <w:p>
      <w:pPr>
        <w:pStyle w:val="ListParagraph"/>
        <w:numPr>
          <w:ilvl w:val="0"/>
          <w:numId w:val="3"/>
        </w:numPr>
        <w:spacing w:after="40" w:before="40"/>
      </w:pPr>
      <w:r>
        <w:rPr>
          <w:rFonts w:ascii="Georgia" w:cs="Georgia" w:eastAsia="Georgia" w:hAnsi="Georgia"/>
          <w:sz w:val="22"/>
          <w:szCs w:val="22"/>
        </w:rPr>
        <w:t xml:space="preserve">SOLO relational thinking — the argument should integrate evidence into a coherent whole, not merely catalogue it</w:t>
      </w:r>
    </w:p>
    <w:p>
      <w:pPr>
        <w:spacing w:after="120" w:before="0"/>
      </w:pPr>
      <w:r>
        <w:t xml:space="preserve"/>
      </w:r>
    </w:p>
    <w:p>
      <w:pPr>
        <w:pStyle w:val="Heading3"/>
        <w:spacing w:after="80" w:before="280"/>
      </w:pPr>
      <w:r>
        <w:rPr>
          <w:rFonts w:ascii="Georgia" w:cs="Georgia" w:eastAsia="Georgia" w:hAnsi="Georgia"/>
          <w:b/>
          <w:bCs/>
          <w:color w:val="8B6914"/>
          <w:sz w:val="24"/>
          <w:szCs w:val="24"/>
        </w:rPr>
        <w:t xml:space="preserve">Common mistakes in the Synthesise stage:</w:t>
      </w:r>
    </w:p>
    <w:p>
      <w:pPr>
        <w:pStyle w:val="ListParagraph"/>
        <w:numPr>
          <w:ilvl w:val="0"/>
          <w:numId w:val="3"/>
        </w:numPr>
        <w:spacing w:after="40" w:before="40"/>
      </w:pPr>
      <w:r>
        <w:rPr>
          <w:rFonts w:ascii="Georgia" w:cs="Georgia" w:eastAsia="Georgia" w:hAnsi="Georgia"/>
          <w:sz w:val="22"/>
          <w:szCs w:val="22"/>
        </w:rPr>
        <w:t xml:space="preserve">Producing a 'balanced' account that presents multiple perspectives without reaching any conclusion — this is Examine, not Synthesise</w:t>
      </w:r>
    </w:p>
    <w:p>
      <w:pPr>
        <w:pStyle w:val="ListParagraph"/>
        <w:numPr>
          <w:ilvl w:val="0"/>
          <w:numId w:val="3"/>
        </w:numPr>
        <w:spacing w:after="40" w:before="40"/>
      </w:pPr>
      <w:r>
        <w:rPr>
          <w:rFonts w:ascii="Georgia" w:cs="Georgia" w:eastAsia="Georgia" w:hAnsi="Georgia"/>
          <w:sz w:val="22"/>
          <w:szCs w:val="22"/>
        </w:rPr>
        <w:t xml:space="preserve">Constructing an argument that uses evidence selectively, engaging only with material that supports the thesis and ignoring complicating evidence</w:t>
      </w:r>
    </w:p>
    <w:p>
      <w:pPr>
        <w:pStyle w:val="ListParagraph"/>
        <w:numPr>
          <w:ilvl w:val="0"/>
          <w:numId w:val="3"/>
        </w:numPr>
        <w:spacing w:after="40" w:before="40"/>
      </w:pPr>
      <w:r>
        <w:rPr>
          <w:rFonts w:ascii="Georgia" w:cs="Georgia" w:eastAsia="Georgia" w:hAnsi="Georgia"/>
          <w:sz w:val="22"/>
          <w:szCs w:val="22"/>
        </w:rPr>
        <w:t xml:space="preserve">Treating the essay or response as a vehicle for demonstrating content knowledge rather than for making an argument — the student should be responding to the question, not summarising the topic</w:t>
      </w:r>
    </w:p>
    <w:p>
      <w:pPr>
        <w:pStyle w:val="ListParagraph"/>
        <w:numPr>
          <w:ilvl w:val="0"/>
          <w:numId w:val="3"/>
        </w:numPr>
        <w:spacing w:after="40" w:before="40"/>
      </w:pPr>
      <w:r>
        <w:rPr>
          <w:rFonts w:ascii="Georgia" w:cs="Georgia" w:eastAsia="Georgia" w:hAnsi="Georgia"/>
          <w:sz w:val="22"/>
          <w:szCs w:val="22"/>
        </w:rPr>
        <w:t xml:space="preserve">Neglecting to articulate a clear contention early in the response — in humanities assessment, the argument should be stated at the outset and developed, not revealed at the end like a mystery</w:t>
      </w:r>
    </w:p>
    <w:p>
      <w:pPr>
        <w:spacing w:after="160" w:before="0"/>
      </w:pPr>
      <w:r>
        <w:t xml:space="preserve"/>
      </w:r>
    </w:p>
    <w:p>
      <w:pPr>
        <w:pStyle w:val="Heading2"/>
        <w:spacing w:after="120" w:before="360"/>
      </w:pPr>
      <w:r>
        <w:rPr>
          <w:rFonts w:ascii="Georgia" w:cs="Georgia" w:eastAsia="Georgia" w:hAnsi="Georgia"/>
          <w:b/>
          <w:bCs/>
          <w:color w:val="1A2A4A"/>
          <w:sz w:val="28"/>
          <w:szCs w:val="28"/>
        </w:rPr>
        <w:t xml:space="preserve">4.5  T — Transfer: Applying to New Contexts</w:t>
      </w:r>
    </w:p>
    <w:tbl>
      <w:tblPr>
        <w:tblW w:type="dxa" w:w="8709"/>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1568"/>
        <w:gridCol w:w="7141"/>
      </w:tblGrid>
      <w:tr>
        <w:tc>
          <w:tcPr>
            <w:tcW w:type="dxa" w:w="1568"/>
            <w:tcBorders>
              <w:top w:val="none" w:color="FFFFFF" w:sz="0"/>
              <w:left w:val="none" w:color="FFFFFF" w:sz="0"/>
              <w:bottom w:val="none" w:color="FFFFFF" w:sz="0"/>
              <w:right w:val="none" w:color="FFFFFF" w:sz="0"/>
            </w:tcBorders>
            <w:shd w:fill="1F7A6E" w:val="clear"/>
            <w:tcMar>
              <w:top w:type="dxa" w:w="160"/>
              <w:left w:type="dxa" w:w="160"/>
              <w:bottom w:type="dxa" w:w="160"/>
              <w:right w:type="dxa" w:w="160"/>
            </w:tcMar>
            <w:vAlign w:val="center"/>
          </w:tcPr>
          <w:p>
            <w:pPr>
              <w:jc w:val="center"/>
            </w:pPr>
            <w:r>
              <w:rPr>
                <w:rFonts w:ascii="Georgia" w:cs="Georgia" w:eastAsia="Georgia" w:hAnsi="Georgia"/>
                <w:b/>
                <w:bCs/>
                <w:color w:val="FFFFFF"/>
                <w:sz w:val="64"/>
                <w:szCs w:val="64"/>
              </w:rPr>
              <w:t xml:space="preserve">T</w:t>
            </w:r>
          </w:p>
          <w:p>
            <w:pPr>
              <w:jc w:val="center"/>
            </w:pPr>
            <w:r>
              <w:rPr>
                <w:rFonts w:ascii="Georgia" w:cs="Georgia" w:eastAsia="Georgia" w:hAnsi="Georgia"/>
                <w:b/>
                <w:bCs/>
                <w:color w:val="FFFFFF"/>
                <w:sz w:val="20"/>
                <w:szCs w:val="20"/>
              </w:rPr>
              <w:t xml:space="preserve">Transfer</w:t>
            </w:r>
          </w:p>
        </w:tc>
        <w:tc>
          <w:tcPr>
            <w:tcW w:type="dxa" w:w="7141"/>
            <w:tcBorders>
              <w:top w:val="none" w:color="FFFFFF" w:sz="0"/>
              <w:left w:val="none" w:color="FFFFFF" w:sz="0"/>
              <w:bottom w:val="none" w:color="FFFFFF" w:sz="0"/>
              <w:right w:val="none" w:color="FFFFFF" w:sz="0"/>
            </w:tcBorders>
            <w:shd w:fill="F2F2F2" w:val="clear"/>
            <w:tcMar>
              <w:top w:type="dxa" w:w="160"/>
              <w:left w:type="dxa" w:w="200"/>
              <w:bottom w:type="dxa" w:w="160"/>
              <w:right w:type="dxa" w:w="200"/>
            </w:tcMar>
          </w:tcPr>
          <w:p>
            <w:pPr>
              <w:spacing w:after="80" w:before="0"/>
            </w:pPr>
            <w:r>
              <w:rPr>
                <w:rFonts w:ascii="Georgia" w:cs="Georgia" w:eastAsia="Georgia" w:hAnsi="Georgia"/>
                <w:b/>
                <w:bCs/>
                <w:i/>
                <w:iCs/>
                <w:color w:val="1F7A6E"/>
                <w:sz w:val="22"/>
                <w:szCs w:val="22"/>
              </w:rPr>
              <w:t xml:space="preserve">Apply learning to new contexts, cases, or contemporary issues.</w:t>
            </w:r>
          </w:p>
          <w:p>
            <w:pPr>
              <w:spacing w:after="80" w:before="0"/>
              <w:jc w:val="both"/>
            </w:pPr>
            <w:r>
              <w:rPr>
                <w:rFonts w:ascii="Georgia" w:cs="Georgia" w:eastAsia="Georgia" w:hAnsi="Georgia"/>
                <w:color w:val="111111"/>
                <w:sz w:val="20"/>
                <w:szCs w:val="20"/>
              </w:rPr>
              <w:t xml:space="preserve">The Transfer stage is the proof of genuine understanding. A student who can answer the inquiry question they have been studying is demonstrating memory, comprehension, and perhaps analysis. A student who can apply what they have learned to a new question, context, or case that they have not previously studied is demonstrating something deeper: the internationalisation of a way of thinking, not merely the memorisation of a set of answers.</w:t>
            </w:r>
          </w:p>
          <w:p>
            <w:pPr>
              <w:spacing w:after="80" w:before="0"/>
              <w:jc w:val="both"/>
            </w:pPr>
            <w:r>
              <w:rPr>
                <w:rFonts w:ascii="Georgia" w:cs="Georgia" w:eastAsia="Georgia" w:hAnsi="Georgia"/>
                <w:color w:val="111111"/>
                <w:sz w:val="20"/>
                <w:szCs w:val="20"/>
              </w:rPr>
              <w:t xml:space="preserve">Drawing on the Elaborate phase of the 5E model and the extended abstract level of SOLO, the Transfer stage asks students to step beyond the specific content of the inquiry and ask: 'What have I learned here that I can use elsewhere?' This is a metacognitive as much as a cognitive task — it requires students to identify the transferable principles embedded in their specific inquiry, and to apply those principles to new material.</w:t>
            </w:r>
          </w:p>
          <w:p>
            <w:pPr>
              <w:spacing w:after="80" w:before="0"/>
              <w:jc w:val="both"/>
            </w:pPr>
            <w:r>
              <w:rPr>
                <w:rFonts w:ascii="Georgia" w:cs="Georgia" w:eastAsia="Georgia" w:hAnsi="Georgia"/>
                <w:color w:val="111111"/>
                <w:sz w:val="20"/>
                <w:szCs w:val="20"/>
              </w:rPr>
              <w:t xml:space="preserve">In Ancient History, transfer might mean applying the analytical skills developed in studying the collapse of the Western Roman Empire to the question of what historical analogies are appropriate for understanding contemporary geopolitical fragmentation. In Economics, transfer might mean applying the concept of market failure, developed in the context of a specific case study, to a new policy problem in a different sector or country. In Philosophy, transfer is perhaps the most natural stage of all — philosophy has always been in the business of applying abstract principles to new cases, and the capacity to move from a worked example (trolley problem) to a real dilemma (end-of-life care, military ethics) is the mark of genuine philosophical thinking.</w:t>
            </w:r>
          </w:p>
          <w:p>
            <w:pPr>
              <w:spacing w:after="80" w:before="0"/>
              <w:jc w:val="both"/>
            </w:pPr>
            <w:r>
              <w:rPr>
                <w:rFonts w:ascii="Georgia" w:cs="Georgia" w:eastAsia="Georgia" w:hAnsi="Georgia"/>
                <w:color w:val="111111"/>
                <w:sz w:val="20"/>
                <w:szCs w:val="20"/>
              </w:rPr>
              <w:t xml:space="preserve">The Transfer stage also explicitly builds cross-disciplinary connections — the kind of thinking that allows a student who has studied geography to recognise the economic dimensions of a natural hazard, or a student who has studied literature to apply their understanding of narrative to the construction of historical memory. This cross-disciplinary transfer is one of the distinctive ambitions of Quest Humanities: to cultivate students who think across disciplinary boundaries as well as within them.</w:t>
            </w:r>
          </w:p>
        </w:tc>
      </w:tr>
    </w:tbl>
    <w:p>
      <w:pPr>
        <w:spacing w:after="80" w:before="0"/>
      </w:pPr>
      <w:r>
        <w:t xml:space="preserve"/>
      </w:r>
    </w:p>
    <w:p>
      <w:pPr>
        <w:pStyle w:val="Heading3"/>
        <w:spacing w:after="80" w:before="280"/>
      </w:pPr>
      <w:r>
        <w:rPr>
          <w:rFonts w:ascii="Georgia" w:cs="Georgia" w:eastAsia="Georgia" w:hAnsi="Georgia"/>
          <w:b/>
          <w:bCs/>
          <w:color w:val="8B6914"/>
          <w:sz w:val="24"/>
          <w:szCs w:val="24"/>
        </w:rPr>
        <w:t xml:space="preserve">What teachers should look for in the Transfer stage:</w:t>
      </w:r>
    </w:p>
    <w:p>
      <w:pPr>
        <w:pStyle w:val="ListParagraph"/>
        <w:numPr>
          <w:ilvl w:val="0"/>
          <w:numId w:val="3"/>
        </w:numPr>
        <w:spacing w:after="40" w:before="40"/>
      </w:pPr>
      <w:r>
        <w:rPr>
          <w:rFonts w:ascii="Georgia" w:cs="Georgia" w:eastAsia="Georgia" w:hAnsi="Georgia"/>
          <w:sz w:val="22"/>
          <w:szCs w:val="22"/>
        </w:rPr>
        <w:t xml:space="preserve">Students can apply the concepts, analytical skills, or arguments developed in the inquiry to a new case or context without being told how</w:t>
      </w:r>
    </w:p>
    <w:p>
      <w:pPr>
        <w:pStyle w:val="ListParagraph"/>
        <w:numPr>
          <w:ilvl w:val="0"/>
          <w:numId w:val="3"/>
        </w:numPr>
        <w:spacing w:after="40" w:before="40"/>
      </w:pPr>
      <w:r>
        <w:rPr>
          <w:rFonts w:ascii="Georgia" w:cs="Georgia" w:eastAsia="Georgia" w:hAnsi="Georgia"/>
          <w:sz w:val="22"/>
          <w:szCs w:val="22"/>
        </w:rPr>
        <w:t xml:space="preserve">Students can identify the limits of the transfer — recognising where the analogy breaks down, or where the new context requires modification of the original analysis</w:t>
      </w:r>
    </w:p>
    <w:p>
      <w:pPr>
        <w:pStyle w:val="ListParagraph"/>
        <w:numPr>
          <w:ilvl w:val="0"/>
          <w:numId w:val="3"/>
        </w:numPr>
        <w:spacing w:after="40" w:before="40"/>
      </w:pPr>
      <w:r>
        <w:rPr>
          <w:rFonts w:ascii="Georgia" w:cs="Georgia" w:eastAsia="Georgia" w:hAnsi="Georgia"/>
          <w:sz w:val="22"/>
          <w:szCs w:val="22"/>
        </w:rPr>
        <w:t xml:space="preserve">Students can make meaningful connections between the inquiry and contemporary issues, other disciplines, or other content within the same subject</w:t>
      </w:r>
    </w:p>
    <w:p>
      <w:pPr>
        <w:pStyle w:val="ListParagraph"/>
        <w:numPr>
          <w:ilvl w:val="0"/>
          <w:numId w:val="3"/>
        </w:numPr>
        <w:spacing w:after="40" w:before="40"/>
      </w:pPr>
      <w:r>
        <w:rPr>
          <w:rFonts w:ascii="Georgia" w:cs="Georgia" w:eastAsia="Georgia" w:hAnsi="Georgia"/>
          <w:sz w:val="22"/>
          <w:szCs w:val="22"/>
        </w:rPr>
        <w:t xml:space="preserve">Students demonstrate metacognitive awareness — they can explain what they have learned, not just what happened, and what they would do differently in a new inquiry</w:t>
      </w:r>
    </w:p>
    <w:p>
      <w:pPr>
        <w:spacing w:after="120" w:before="0"/>
      </w:pPr>
      <w:r>
        <w:t xml:space="preserve"/>
      </w:r>
    </w:p>
    <w:p>
      <w:pPr>
        <w:pStyle w:val="Heading3"/>
        <w:spacing w:after="80" w:before="280"/>
      </w:pPr>
      <w:r>
        <w:rPr>
          <w:rFonts w:ascii="Georgia" w:cs="Georgia" w:eastAsia="Georgia" w:hAnsi="Georgia"/>
          <w:b/>
          <w:bCs/>
          <w:color w:val="8B6914"/>
          <w:sz w:val="24"/>
          <w:szCs w:val="24"/>
        </w:rPr>
        <w:t xml:space="preserve">Common mistakes in the Transfer stage:</w:t>
      </w:r>
    </w:p>
    <w:p>
      <w:pPr>
        <w:pStyle w:val="ListParagraph"/>
        <w:numPr>
          <w:ilvl w:val="0"/>
          <w:numId w:val="3"/>
        </w:numPr>
        <w:spacing w:after="40" w:before="40"/>
      </w:pPr>
      <w:r>
        <w:rPr>
          <w:rFonts w:ascii="Georgia" w:cs="Georgia" w:eastAsia="Georgia" w:hAnsi="Georgia"/>
          <w:sz w:val="22"/>
          <w:szCs w:val="22"/>
        </w:rPr>
        <w:t xml:space="preserve">Treating Transfer as a summary of the inquiry rather than an application beyond it — 'In conclusion, I have learned that...' is not Transfer</w:t>
      </w:r>
    </w:p>
    <w:p>
      <w:pPr>
        <w:pStyle w:val="ListParagraph"/>
        <w:numPr>
          <w:ilvl w:val="0"/>
          <w:numId w:val="3"/>
        </w:numPr>
        <w:spacing w:after="40" w:before="40"/>
      </w:pPr>
      <w:r>
        <w:rPr>
          <w:rFonts w:ascii="Georgia" w:cs="Georgia" w:eastAsia="Georgia" w:hAnsi="Georgia"/>
          <w:sz w:val="22"/>
          <w:szCs w:val="22"/>
        </w:rPr>
        <w:t xml:space="preserve">Forcing superficial connections — genuine transfer requires genuine structural similarity between the original inquiry and the new context, not merely thematic overlap</w:t>
      </w:r>
    </w:p>
    <w:p>
      <w:pPr>
        <w:pStyle w:val="ListParagraph"/>
        <w:numPr>
          <w:ilvl w:val="0"/>
          <w:numId w:val="3"/>
        </w:numPr>
        <w:spacing w:after="40" w:before="40"/>
      </w:pPr>
      <w:r>
        <w:rPr>
          <w:rFonts w:ascii="Georgia" w:cs="Georgia" w:eastAsia="Georgia" w:hAnsi="Georgia"/>
          <w:sz w:val="22"/>
          <w:szCs w:val="22"/>
        </w:rPr>
        <w:t xml:space="preserve">Neglecting the Transfer stage entirely, treating the Synthesise stage as the end of learning — this is the most common mistake, and the most consequential, because it is in the Transfer stage that understanding becomes durable and genuinely applicable</w:t>
      </w:r>
    </w:p>
    <w:p>
      <w:pPr>
        <w:pStyle w:val="ListParagraph"/>
        <w:numPr>
          <w:ilvl w:val="0"/>
          <w:numId w:val="3"/>
        </w:numPr>
        <w:spacing w:after="40" w:before="40"/>
      </w:pPr>
      <w:r>
        <w:rPr>
          <w:rFonts w:ascii="Georgia" w:cs="Georgia" w:eastAsia="Georgia" w:hAnsi="Georgia"/>
          <w:sz w:val="22"/>
          <w:szCs w:val="22"/>
        </w:rPr>
        <w:t xml:space="preserve">Skipping the reflective dimension — students should be invited to consider not only what the content tells them but what the process of inquiry has revealed about how thinking in this discipline works</w:t>
      </w:r>
    </w:p>
    <w:p>
      <w:pPr>
        <w:spacing w:after="160" w:before="0"/>
      </w:pPr>
      <w:r>
        <w:t xml:space="preserve"/>
      </w:r>
    </w:p>
    <w:p>
      <w:pPr>
        <w:pStyle w:val="Heading2"/>
        <w:spacing w:after="120" w:before="360"/>
      </w:pPr>
      <w:r>
        <w:rPr>
          <w:rFonts w:ascii="Georgia" w:cs="Georgia" w:eastAsia="Georgia" w:hAnsi="Georgia"/>
          <w:b/>
          <w:bCs/>
          <w:color w:val="1A2A4A"/>
          <w:sz w:val="28"/>
          <w:szCs w:val="28"/>
        </w:rPr>
        <w:t xml:space="preserve">4.6  The Recursive Nature of QUEST</w:t>
      </w:r>
    </w:p>
    <w:p>
      <w:pPr>
        <w:spacing w:after="160" w:before="0"/>
        <w:jc w:val="both"/>
      </w:pPr>
      <w:r>
        <w:rPr>
          <w:rFonts w:ascii="Georgia" w:cs="Georgia" w:eastAsia="Georgia" w:hAnsi="Georgia"/>
          <w:b w:val="false"/>
          <w:bCs w:val="false"/>
          <w:i w:val="false"/>
          <w:iCs w:val="false"/>
          <w:color w:val="000000"/>
          <w:sz w:val="22"/>
          <w:szCs w:val="22"/>
        </w:rPr>
        <w:t xml:space="preserve">A final and essential point about the QUEST framework: it is not a linear sequence in which each stage is completed once and then left behind. Humanities inquiry is recursive — it doubles back on itself, revisiting earlier stages in the light of later discoveries. A student who has moved into the Examine stage may find that the evidence they encounter requires them to reformulate their inquiry question (returning to Q) or reveals that they lack the contextual knowledge to interpret a crucial source (returning to U). A student working at the Synthesise stage may find that the counter-arguments they encounter are stronger than they had anticipated, requiring a return to Examine for additional evidence.</w:t>
      </w:r>
    </w:p>
    <w:p>
      <w:pPr>
        <w:spacing w:after="160" w:before="0"/>
        <w:jc w:val="both"/>
      </w:pPr>
      <w:r>
        <w:rPr>
          <w:rFonts w:ascii="Georgia" w:cs="Georgia" w:eastAsia="Georgia" w:hAnsi="Georgia"/>
          <w:b w:val="false"/>
          <w:bCs w:val="false"/>
          <w:i w:val="false"/>
          <w:iCs w:val="false"/>
          <w:color w:val="000000"/>
          <w:sz w:val="22"/>
          <w:szCs w:val="22"/>
        </w:rPr>
        <w:t xml:space="preserve">This recursion is not a failure of the framework — it is a sign that the framework is working. Real intellectual inquiry does not proceed in straight lines. The best historians, economists, and philosophers return repeatedly to their questions as their understanding develops. The QUEST framework is designed to honour that recursion while providing enough structure to prevent it from becoming mere circular wandering. The stages provide orientation; the student's engagement with evidence and argument provides direction.</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The stages of QUEST are not rooms to be passed through and locked behind you. They are positions in a landscape — positions to which you will return, each time with more to carry.</w:t>
            </w:r>
          </w:p>
        </w:tc>
      </w:tr>
    </w:tbl>
    <w:p>
      <w:pPr>
        <w:spacing w:after="120" w:before="0"/>
      </w:pPr>
      <w:r>
        <w:t xml:space="preserve"/>
      </w:r>
    </w:p>
    <w:p>
      <w:r>
        <w:br w:type="page"/>
      </w:r>
    </w:p>
    <w:p>
      <w:pPr>
        <w:pStyle w:val="Heading1"/>
        <w:spacing w:after="160" w:before="480"/>
      </w:pPr>
      <w:r>
        <w:rPr>
          <w:rFonts w:ascii="Georgia" w:cs="Georgia" w:eastAsia="Georgia" w:hAnsi="Georgia"/>
          <w:b/>
          <w:bCs/>
          <w:color w:val="1A2A4A"/>
          <w:sz w:val="36"/>
          <w:szCs w:val="36"/>
        </w:rPr>
        <w:t xml:space="preserve">5. QUEST and the Humanities: Why This Framework for These Disciplines</w:t>
      </w:r>
    </w:p>
    <w:p>
      <w:pPr>
        <w:spacing w:after="160" w:before="0"/>
        <w:jc w:val="both"/>
      </w:pPr>
      <w:r>
        <w:rPr>
          <w:rFonts w:ascii="Georgia" w:cs="Georgia" w:eastAsia="Georgia" w:hAnsi="Georgia"/>
          <w:b w:val="false"/>
          <w:bCs w:val="false"/>
          <w:i w:val="false"/>
          <w:iCs w:val="false"/>
          <w:color w:val="000000"/>
          <w:sz w:val="22"/>
          <w:szCs w:val="22"/>
        </w:rPr>
        <w:t xml:space="preserve">The case for a humanities-specific inquiry framework rests on a distinctive claim about the nature of humanistic knowledge. The humanities are not merely a set of topics (history, literature, philosophy, economics) but a family of disciplines united by a shared epistemological commitment: that understanding human experience requires interpretation, not merely measurement. The past does not yield its meaning automatically to any sufficiently diligent researcher; it must be read, questioned, and argued about, using evidence that is always incomplete, always mediated, and always subject to revision.</w:t>
      </w:r>
    </w:p>
    <w:p>
      <w:pPr>
        <w:spacing w:after="160" w:before="0"/>
        <w:jc w:val="both"/>
      </w:pPr>
      <w:r>
        <w:rPr>
          <w:rFonts w:ascii="Georgia" w:cs="Georgia" w:eastAsia="Georgia" w:hAnsi="Georgia"/>
          <w:b w:val="false"/>
          <w:bCs w:val="false"/>
          <w:i w:val="false"/>
          <w:iCs w:val="false"/>
          <w:color w:val="000000"/>
          <w:sz w:val="22"/>
          <w:szCs w:val="22"/>
        </w:rPr>
        <w:t xml:space="preserve">This makes the humanities different from the natural sciences, not in intellectual rigour but in the kind of rigour they require. A scientific inquiry can, in principle, be settled by a well-designed experiment. A humanities inquiry cannot be settled in the same way — but that does not mean it is a matter of mere opinion. The difference between a good historical argument and a bad one is real, significant, and teachable. It lies in the quality of the evidence used, the honesty with which counter-evidence is confronted, the precision of the reasoning, and the intellectual humility with which conclusions are held.</w:t>
      </w:r>
    </w:p>
    <w:p>
      <w:pPr>
        <w:spacing w:after="160" w:before="0"/>
        <w:jc w:val="both"/>
      </w:pPr>
      <w:r>
        <w:rPr>
          <w:rFonts w:ascii="Georgia" w:cs="Georgia" w:eastAsia="Georgia" w:hAnsi="Georgia"/>
          <w:b w:val="false"/>
          <w:bCs w:val="false"/>
          <w:i w:val="false"/>
          <w:iCs w:val="false"/>
          <w:color w:val="000000"/>
          <w:sz w:val="22"/>
          <w:szCs w:val="22"/>
        </w:rPr>
        <w:t xml:space="preserve">QUEST is designed to teach this kind of rigour. Its five stages embody the characteristic intellectual practices of the humanities: the formulation of genuine questions (Q); the patient building of context and vocabulary without which evidence cannot be interpreted (U); the disciplinarily specific engagement with sources, texts, arguments, and data (E); the construction of evidence-based arguments that integrate multiple perspectives into a coherent whole (S); and the application of that understanding to new cases and contexts, including the present (T).</w:t>
      </w:r>
    </w:p>
    <w:p>
      <w:pPr>
        <w:spacing w:after="160" w:before="0"/>
        <w:jc w:val="both"/>
      </w:pPr>
      <w:r>
        <w:rPr>
          <w:rFonts w:ascii="Georgia" w:cs="Georgia" w:eastAsia="Georgia" w:hAnsi="Georgia"/>
          <w:b w:val="false"/>
          <w:bCs w:val="false"/>
          <w:i w:val="false"/>
          <w:iCs w:val="false"/>
          <w:color w:val="000000"/>
          <w:sz w:val="22"/>
          <w:szCs w:val="22"/>
        </w:rPr>
        <w:t xml:space="preserve">What QUEST does not do — deliberately — is reduce humanistic inquiry to a procedure. Each of the five stages is open-ended in the sense that counts: it specifies what kind of thinking is required without specifying what conclusions that thinking will produce. A QUEST inquiry into the causes of the First World War will produce different and competing arguments, each with its own evidence base and argumentative structure. A QUEST inquiry into the ethics of civil disobedience will produce irresolvably different positions, each defensible and each challengeable. This is not a failure of the framework; it is the point. The humanities teach students how to think in the face of genuine difficulty and genuine disagreement. QUEST is a scaffold for that teaching.</w:t>
      </w:r>
    </w:p>
    <w:p>
      <w:r>
        <w:br w:type="page"/>
      </w:r>
    </w:p>
    <w:p>
      <w:pPr>
        <w:pStyle w:val="Heading1"/>
        <w:spacing w:after="160" w:before="480"/>
      </w:pPr>
      <w:r>
        <w:rPr>
          <w:rFonts w:ascii="Georgia" w:cs="Georgia" w:eastAsia="Georgia" w:hAnsi="Georgia"/>
          <w:b/>
          <w:bCs/>
          <w:color w:val="1A2A4A"/>
          <w:sz w:val="36"/>
          <w:szCs w:val="36"/>
        </w:rPr>
        <w:t xml:space="preserve">6. QUEST Across Curricula: International Alignment</w:t>
      </w:r>
    </w:p>
    <w:p>
      <w:pPr>
        <w:spacing w:after="160" w:before="0"/>
        <w:jc w:val="both"/>
      </w:pPr>
      <w:r>
        <w:rPr>
          <w:rFonts w:ascii="Georgia" w:cs="Georgia" w:eastAsia="Georgia" w:hAnsi="Georgia"/>
          <w:b w:val="false"/>
          <w:bCs w:val="false"/>
          <w:i w:val="false"/>
          <w:iCs w:val="false"/>
          <w:color w:val="000000"/>
          <w:sz w:val="22"/>
          <w:szCs w:val="22"/>
        </w:rPr>
        <w:t xml:space="preserve">One of the deliberate ambitions of Quest Humanities is to serve students across a range of curriculum frameworks — Australian state and territory syllabuses, the International Baccalaureate Diploma Programme, UK A-Level, and the US Advanced Placement programme. A key test of QUEST's validity as a framework is whether it aligns with the deep intellectual demands of each of these systems, even though they differ in structure, assessment design, and disciplinary organisation.</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1916"/>
        <w:gridCol w:w="3397"/>
        <w:gridCol w:w="3397"/>
      </w:tblGrid>
      <w:tr>
        <w:trPr>
          <w:tblHeader/>
        </w:trPr>
        <w:tc>
          <w:tcPr>
            <w:tcW w:type="dxa" w:w="1916"/>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Georgia" w:cs="Georgia" w:eastAsia="Georgia" w:hAnsi="Georgia"/>
                <w:b/>
                <w:bCs/>
                <w:color w:val="FFFFFF"/>
                <w:sz w:val="20"/>
                <w:szCs w:val="20"/>
              </w:rPr>
              <w:t xml:space="preserve">Curriculum</w:t>
            </w:r>
          </w:p>
        </w:tc>
        <w:tc>
          <w:tcPr>
            <w:tcW w:type="dxa" w:w="3397"/>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Georgia" w:cs="Georgia" w:eastAsia="Georgia" w:hAnsi="Georgia"/>
                <w:b/>
                <w:bCs/>
                <w:color w:val="FFFFFF"/>
                <w:sz w:val="20"/>
                <w:szCs w:val="20"/>
              </w:rPr>
              <w:t xml:space="preserve">Key intellectual demands</w:t>
            </w:r>
          </w:p>
        </w:tc>
        <w:tc>
          <w:tcPr>
            <w:tcW w:type="dxa" w:w="3397"/>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Georgia" w:cs="Georgia" w:eastAsia="Georgia" w:hAnsi="Georgia"/>
                <w:b/>
                <w:bCs/>
                <w:color w:val="FFFFFF"/>
                <w:sz w:val="20"/>
                <w:szCs w:val="20"/>
              </w:rPr>
              <w:t xml:space="preserve">QUEST alignment</w:t>
            </w:r>
          </w:p>
        </w:tc>
      </w:tr>
      <w:tr>
        <w:tc>
          <w:tcPr>
            <w:tcW w:type="dxa" w:w="191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QCAA (Queensland)</w:t>
            </w:r>
          </w:p>
        </w:tc>
        <w:tc>
          <w:tcPr>
            <w:tcW w:type="dxa" w:w="3397"/>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Analytical and extended response items requiring students to analyse sources, construct arguments, and evaluate historical claims. Criterion-referenced assessment rewards depth of analysis and quality of argument.</w:t>
            </w:r>
          </w:p>
        </w:tc>
        <w:tc>
          <w:tcPr>
            <w:tcW w:type="dxa" w:w="3397"/>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Q drives the extended response question. U builds the contextual knowledge needed to engage with stimulus material. E applies QCAA source analysis skills. S constructs the analytical response. T connects to synoptic assessment tasks.</w:t>
            </w:r>
          </w:p>
        </w:tc>
      </w:tr>
      <w:tr>
        <w:tc>
          <w:tcPr>
            <w:tcW w:type="dxa" w:w="191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IB Diploma (History, Economics, Philosophy, Geography)</w:t>
            </w:r>
          </w:p>
        </w:tc>
        <w:tc>
          <w:tcPr>
            <w:tcW w:type="dxa" w:w="339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Higher Order Thinking Skills across all subjects; Internal Assessments requiring independent inquiry; Extended Essay; Theory of Knowledge integration. Emphasis on multiple perspectives and conceptual understanding.</w:t>
            </w:r>
          </w:p>
        </w:tc>
        <w:tc>
          <w:tcPr>
            <w:tcW w:type="dxa" w:w="339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QUEST maps directly onto IB inquiry processes. The Q stage aligns with HL/SL essay framing and IA research questions. The E stage reflects IB source evaluation skills. The T stage supports ToK connections.</w:t>
            </w:r>
          </w:p>
        </w:tc>
      </w:tr>
      <w:tr>
        <w:tc>
          <w:tcPr>
            <w:tcW w:type="dxa" w:w="191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UK A-Level</w:t>
            </w:r>
          </w:p>
        </w:tc>
        <w:tc>
          <w:tcPr>
            <w:tcW w:type="dxa" w:w="3397"/>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Essay-based assessment requiring sustained argument, source evaluation (especially History and English Literature), and application of theoretical frameworks. Linear exams reward breadth and precision.</w:t>
            </w:r>
          </w:p>
        </w:tc>
        <w:tc>
          <w:tcPr>
            <w:tcW w:type="dxa" w:w="3397"/>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QUEST provides the inquiry architecture that A-Level questions assume but rarely teach explicitly. The S stage directly supports the extended argumentative essay that dominates A-Level humanities assessment.</w:t>
            </w:r>
          </w:p>
        </w:tc>
      </w:tr>
      <w:tr>
        <w:tc>
          <w:tcPr>
            <w:tcW w:type="dxa" w:w="191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AP (USA)</w:t>
            </w:r>
          </w:p>
        </w:tc>
        <w:tc>
          <w:tcPr>
            <w:tcW w:type="dxa" w:w="339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Document-Based Questions (DBQs) and Long Essay Questions (LEQs) in History; Free Response Questions in Economics and Government. Emphasis on argumentation, evidence use, and historical thinking skills.</w:t>
            </w:r>
          </w:p>
        </w:tc>
        <w:tc>
          <w:tcPr>
            <w:tcW w:type="dxa" w:w="339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The DBQ process maps almost exactly onto QUEST: students examine primary documents (E), construct a supported argument (S), and contextualise beyond the documents provided (T). QUEST makes this process explicit and teachable.</w:t>
            </w:r>
          </w:p>
        </w:tc>
      </w:tr>
      <w:tr>
        <w:tc>
          <w:tcPr>
            <w:tcW w:type="dxa" w:w="191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VCAA (Victoria)</w:t>
            </w:r>
          </w:p>
        </w:tc>
        <w:tc>
          <w:tcPr>
            <w:tcW w:type="dxa" w:w="3397"/>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School-Assessed Coursework and end-of-year examinations requiring analysis of historical sources, construction of extended analytical responses, and evaluation of historical interpretations.</w:t>
            </w:r>
          </w:p>
        </w:tc>
        <w:tc>
          <w:tcPr>
            <w:tcW w:type="dxa" w:w="3397"/>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Identical deep alignment to QCAA. QUEST's Examine stage directly supports VCAA's source analysis requirements; Synthesise aligns with extended response criteria rewarding sustained, evidence-supported argument.</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What this alignment reveals is that QUEST does not impose a foreign structure on these curricula — it surfaces the intellectual architecture that the best tasks within each system already demand. A Document-Based Question in AP History is, implicitly, a QUEST inquiry: students must examine documents, construct a supported argument, and connect beyond the documents to broader context. QUEST makes that implicit structure explicit, teachable, and transferable — so that students approach each new task with a cognitive map rather than starting from scratch.</w:t>
      </w:r>
    </w:p>
    <w:p>
      <w:r>
        <w:br w:type="page"/>
      </w:r>
    </w:p>
    <w:p>
      <w:pPr>
        <w:pStyle w:val="Heading1"/>
        <w:spacing w:after="160" w:before="480"/>
      </w:pPr>
      <w:r>
        <w:rPr>
          <w:rFonts w:ascii="Georgia" w:cs="Georgia" w:eastAsia="Georgia" w:hAnsi="Georgia"/>
          <w:b/>
          <w:bCs/>
          <w:color w:val="1A2A4A"/>
          <w:sz w:val="36"/>
          <w:szCs w:val="36"/>
        </w:rPr>
        <w:t xml:space="preserve">7. Conclusion</w:t>
      </w:r>
    </w:p>
    <w:p>
      <w:pPr>
        <w:spacing w:after="160" w:before="0"/>
        <w:jc w:val="both"/>
      </w:pPr>
      <w:r>
        <w:rPr>
          <w:rFonts w:ascii="Georgia" w:cs="Georgia" w:eastAsia="Georgia" w:hAnsi="Georgia"/>
          <w:b w:val="false"/>
          <w:bCs w:val="false"/>
          <w:i w:val="false"/>
          <w:iCs w:val="false"/>
          <w:color w:val="000000"/>
          <w:sz w:val="22"/>
          <w:szCs w:val="22"/>
        </w:rPr>
        <w:t xml:space="preserve">The frameworks surveyed in this paper — from Socrates to Bloom, from Piaget to Shanahan, from the 5E model to Understanding by Design — are not competitors. They are contributions to a shared project: understanding how learning works well enough to design it intentionally. Each framework illuminates a different facet of the learning process, and each represents genuine progress in that understanding. The Socratic tradition established that inquiry begins in questions and moves through productive confusion toward understanding. Constructivism established that understanding must be built, not received. Bloom's Taxonomy gave educators a language for the hierarchy of cognitive demand. The 5E model proved that a consistent framework could support diverse content without reducing it to formula. Understanding by Design reversed the planning sequence and put outcomes first. The Gradual Release of Responsibility articulated the pathway to independent competence. Inquiry-Based Learning insisted on the primacy of authentic problems. SOLO provided a vocabulary for structural complexity in student responses. And disciplinary literacy established that reading, writing, and analysis are not generic skills but discipline-specific practices.</w:t>
      </w:r>
    </w:p>
    <w:p>
      <w:pPr>
        <w:spacing w:after="160" w:before="0"/>
        <w:jc w:val="both"/>
      </w:pPr>
      <w:r>
        <w:rPr>
          <w:rFonts w:ascii="Georgia" w:cs="Georgia" w:eastAsia="Georgia" w:hAnsi="Georgia"/>
          <w:b w:val="false"/>
          <w:bCs w:val="false"/>
          <w:i w:val="false"/>
          <w:iCs w:val="false"/>
          <w:color w:val="000000"/>
          <w:sz w:val="22"/>
          <w:szCs w:val="22"/>
        </w:rPr>
        <w:t xml:space="preserve">QUEST inherits from all of these traditions. It is a humanities-specific synthesis of their shared insights, adapted to the recursive, interpretive, argument-centred nature of the disciplines it serves. Its five stages — Question, Unpack, Examine, Synthesise, Transfer — are not arbitrary but principled, grounded in the cognitive research that shows how deep understanding develops and what distinguishes it from surface learning.</w:t>
      </w:r>
    </w:p>
    <w:p>
      <w:pPr>
        <w:spacing w:after="160" w:before="0"/>
        <w:jc w:val="both"/>
      </w:pPr>
      <w:r>
        <w:rPr>
          <w:rFonts w:ascii="Georgia" w:cs="Georgia" w:eastAsia="Georgia" w:hAnsi="Georgia"/>
          <w:b w:val="false"/>
          <w:bCs w:val="false"/>
          <w:i w:val="false"/>
          <w:iCs w:val="false"/>
          <w:color w:val="000000"/>
          <w:sz w:val="22"/>
          <w:szCs w:val="22"/>
        </w:rPr>
        <w:t xml:space="preserve">For students, QUEST offers something invaluable: a cognitive map of the inquiry process. Students who understand where they are in a QUEST sequence — who know that they are building context in Unpack, or integrating evidence in Synthesise — are equipped to manage the complexity of humanities learning rather than being overwhelmed by it. They can locate themselves in the process, identify what they still need to do, and self-assess against explicit criteria for each stage.</w:t>
      </w:r>
    </w:p>
    <w:p>
      <w:pPr>
        <w:spacing w:after="160" w:before="0"/>
        <w:jc w:val="both"/>
      </w:pPr>
      <w:r>
        <w:rPr>
          <w:rFonts w:ascii="Georgia" w:cs="Georgia" w:eastAsia="Georgia" w:hAnsi="Georgia"/>
          <w:b w:val="false"/>
          <w:bCs w:val="false"/>
          <w:i w:val="false"/>
          <w:iCs w:val="false"/>
          <w:color w:val="000000"/>
          <w:sz w:val="22"/>
          <w:szCs w:val="22"/>
        </w:rPr>
        <w:t xml:space="preserve">For teachers, QUEST offers a shared language and a principled structure for unit design, lesson planning, and assessment. It does not dictate content or constrain pedagogical creativity; it provides the architectural logic within which that creativity can operate. A teacher who knows that their students are about to move from Unpack to Examine can design deliberate transition activities, scaffolded source-analysis tasks, and collaborative discussion structures that make that move productive rather than abrupt.</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The humanities are not in decline because they are less rigorous than other disciplines. They are in decline because too few people understand what their rigour looks like. QUEST is, among other things, an argument for that rigour — a demonstration that humanities inquiry has a structure, a discipline, and a standard of excellence that can be taught, learned, and assessed. That is the conviction behind Quest Humanities. And that is what QUEST is for.</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The frameworks surveyed in this paper, and the QUEST framework itself, represent a cumulative answer to one of education's oldest questions: how do we teach people not merely to know things, but to think? The answer, across more than two thousand years of careful thought, is remarkably consistent. We begin with a question. We build carefully. We engage rigorously with evidence. We construct and defend a position. And we carry what we have learned into new encounters, new questions, and new worlds. That is what QUEST does. And that is what the humanities are for.</w:t>
      </w:r>
    </w:p>
    <w:p>
      <w:r>
        <w:br w:type="page"/>
      </w:r>
    </w:p>
    <w:p>
      <w:pPr>
        <w:pStyle w:val="Heading1"/>
        <w:spacing w:after="160" w:before="480"/>
      </w:pPr>
      <w:r>
        <w:rPr>
          <w:rFonts w:ascii="Georgia" w:cs="Georgia" w:eastAsia="Georgia" w:hAnsi="Georgia"/>
          <w:b/>
          <w:bCs/>
          <w:color w:val="1A2A4A"/>
          <w:sz w:val="36"/>
          <w:szCs w:val="36"/>
        </w:rPr>
        <w:t xml:space="preserve">References</w:t>
      </w:r>
    </w:p>
    <w:p>
      <w:pPr>
        <w:spacing w:after="160" w:before="0"/>
        <w:jc w:val="both"/>
      </w:pPr>
      <w:r>
        <w:rPr>
          <w:rFonts w:ascii="Georgia" w:cs="Georgia" w:eastAsia="Georgia" w:hAnsi="Georgia"/>
          <w:b w:val="false"/>
          <w:bCs w:val="false"/>
          <w:i w:val="false"/>
          <w:iCs w:val="false"/>
          <w:color w:val="000000"/>
          <w:sz w:val="22"/>
          <w:szCs w:val="22"/>
        </w:rPr>
        <w:t xml:space="preserve">Anderson, L. W., &amp; Krathwohl, D. R. (Eds.). (2001). A taxonomy for learning, teaching, and assessing: A revision of Bloom's educational objectives. Longman.</w:t>
      </w:r>
    </w:p>
    <w:p>
      <w:pPr>
        <w:spacing w:after="160" w:before="0"/>
        <w:jc w:val="both"/>
      </w:pPr>
      <w:r>
        <w:rPr>
          <w:rFonts w:ascii="Georgia" w:cs="Georgia" w:eastAsia="Georgia" w:hAnsi="Georgia"/>
          <w:b w:val="false"/>
          <w:bCs w:val="false"/>
          <w:i w:val="false"/>
          <w:iCs w:val="false"/>
          <w:color w:val="000000"/>
          <w:sz w:val="22"/>
          <w:szCs w:val="22"/>
        </w:rPr>
        <w:t xml:space="preserve">Barrows, H. S., &amp; Tamblyn, R. M. (1980). Problem-based learning: An approach to medical education. Springer.</w:t>
      </w:r>
    </w:p>
    <w:p>
      <w:pPr>
        <w:spacing w:after="160" w:before="0"/>
        <w:jc w:val="both"/>
      </w:pPr>
      <w:r>
        <w:rPr>
          <w:rFonts w:ascii="Georgia" w:cs="Georgia" w:eastAsia="Georgia" w:hAnsi="Georgia"/>
          <w:b w:val="false"/>
          <w:bCs w:val="false"/>
          <w:i w:val="false"/>
          <w:iCs w:val="false"/>
          <w:color w:val="000000"/>
          <w:sz w:val="22"/>
          <w:szCs w:val="22"/>
        </w:rPr>
        <w:t xml:space="preserve">Biggs, J., &amp; Collis, K. (1982). Evaluating the quality of learning: The SOLO taxonomy. Academic Press.</w:t>
      </w:r>
    </w:p>
    <w:p>
      <w:pPr>
        <w:spacing w:after="160" w:before="0"/>
        <w:jc w:val="both"/>
      </w:pPr>
      <w:r>
        <w:rPr>
          <w:rFonts w:ascii="Georgia" w:cs="Georgia" w:eastAsia="Georgia" w:hAnsi="Georgia"/>
          <w:b w:val="false"/>
          <w:bCs w:val="false"/>
          <w:i w:val="false"/>
          <w:iCs w:val="false"/>
          <w:color w:val="000000"/>
          <w:sz w:val="22"/>
          <w:szCs w:val="22"/>
        </w:rPr>
        <w:t xml:space="preserve">Bloom, B. S. (Ed.). (1956). Taxonomy of educational objectives: The classification of educational goals — Handbook I: Cognitive domain. David McKay.</w:t>
      </w:r>
    </w:p>
    <w:p>
      <w:pPr>
        <w:spacing w:after="160" w:before="0"/>
        <w:jc w:val="both"/>
      </w:pPr>
      <w:r>
        <w:rPr>
          <w:rFonts w:ascii="Georgia" w:cs="Georgia" w:eastAsia="Georgia" w:hAnsi="Georgia"/>
          <w:b w:val="false"/>
          <w:bCs w:val="false"/>
          <w:i w:val="false"/>
          <w:iCs w:val="false"/>
          <w:color w:val="000000"/>
          <w:sz w:val="22"/>
          <w:szCs w:val="22"/>
        </w:rPr>
        <w:t xml:space="preserve">Bybee, R. W. (1997). Achieving scientific literacy: From purposes to practices. Heinemann.</w:t>
      </w:r>
    </w:p>
    <w:p>
      <w:pPr>
        <w:spacing w:after="160" w:before="0"/>
        <w:jc w:val="both"/>
      </w:pPr>
      <w:r>
        <w:rPr>
          <w:rFonts w:ascii="Georgia" w:cs="Georgia" w:eastAsia="Georgia" w:hAnsi="Georgia"/>
          <w:b w:val="false"/>
          <w:bCs w:val="false"/>
          <w:i w:val="false"/>
          <w:iCs w:val="false"/>
          <w:color w:val="000000"/>
          <w:sz w:val="22"/>
          <w:szCs w:val="22"/>
        </w:rPr>
        <w:t xml:space="preserve">Bybee, R. W., Taylor, J. A., Gardner, A., Van Scotter, P., Carlson Powell, J., Westbrook, A., &amp; Landes, N. (2006). The BSCS 5E instructional model: Origins and effectiveness. BSCS.</w:t>
      </w:r>
    </w:p>
    <w:p>
      <w:pPr>
        <w:spacing w:after="160" w:before="0"/>
        <w:jc w:val="both"/>
      </w:pPr>
      <w:r>
        <w:rPr>
          <w:rFonts w:ascii="Georgia" w:cs="Georgia" w:eastAsia="Georgia" w:hAnsi="Georgia"/>
          <w:b w:val="false"/>
          <w:bCs w:val="false"/>
          <w:i w:val="false"/>
          <w:iCs w:val="false"/>
          <w:color w:val="000000"/>
          <w:sz w:val="22"/>
          <w:szCs w:val="22"/>
        </w:rPr>
        <w:t xml:space="preserve">Dewey, J. (1916). Democracy and education: An introduction to the philosophy of education. Macmillan.</w:t>
      </w:r>
    </w:p>
    <w:p>
      <w:pPr>
        <w:spacing w:after="160" w:before="0"/>
        <w:jc w:val="both"/>
      </w:pPr>
      <w:r>
        <w:rPr>
          <w:rFonts w:ascii="Georgia" w:cs="Georgia" w:eastAsia="Georgia" w:hAnsi="Georgia"/>
          <w:b w:val="false"/>
          <w:bCs w:val="false"/>
          <w:i w:val="false"/>
          <w:iCs w:val="false"/>
          <w:color w:val="000000"/>
          <w:sz w:val="22"/>
          <w:szCs w:val="22"/>
        </w:rPr>
        <w:t xml:space="preserve">Fisher, D., &amp; Frey, N. (2008). Better learning through structured teaching: A framework for the gradual release of responsibility. ASCD.</w:t>
      </w:r>
    </w:p>
    <w:p>
      <w:pPr>
        <w:spacing w:after="160" w:before="0"/>
        <w:jc w:val="both"/>
      </w:pPr>
      <w:r>
        <w:rPr>
          <w:rFonts w:ascii="Georgia" w:cs="Georgia" w:eastAsia="Georgia" w:hAnsi="Georgia"/>
          <w:b w:val="false"/>
          <w:bCs w:val="false"/>
          <w:i w:val="false"/>
          <w:iCs w:val="false"/>
          <w:color w:val="000000"/>
          <w:sz w:val="22"/>
          <w:szCs w:val="22"/>
        </w:rPr>
        <w:t xml:space="preserve">Flavell, J. H. (1979). Metacognition and cognitive monitoring: A new area of cognitive-developmental inquiry. American Psychologist, 34(10), 906–911.</w:t>
      </w:r>
    </w:p>
    <w:p>
      <w:pPr>
        <w:spacing w:after="160" w:before="0"/>
        <w:jc w:val="both"/>
      </w:pPr>
      <w:r>
        <w:rPr>
          <w:rFonts w:ascii="Georgia" w:cs="Georgia" w:eastAsia="Georgia" w:hAnsi="Georgia"/>
          <w:b w:val="false"/>
          <w:bCs w:val="false"/>
          <w:i w:val="false"/>
          <w:iCs w:val="false"/>
          <w:color w:val="000000"/>
          <w:sz w:val="22"/>
          <w:szCs w:val="22"/>
        </w:rPr>
        <w:t xml:space="preserve">Hattie, J. (2009). Visible learning: A synthesis of over 800 meta-analyses relating to achievement. Routledge.</w:t>
      </w:r>
    </w:p>
    <w:p>
      <w:pPr>
        <w:spacing w:after="160" w:before="0"/>
        <w:jc w:val="both"/>
      </w:pPr>
      <w:r>
        <w:rPr>
          <w:rFonts w:ascii="Georgia" w:cs="Georgia" w:eastAsia="Georgia" w:hAnsi="Georgia"/>
          <w:b w:val="false"/>
          <w:bCs w:val="false"/>
          <w:i w:val="false"/>
          <w:iCs w:val="false"/>
          <w:color w:val="000000"/>
          <w:sz w:val="22"/>
          <w:szCs w:val="22"/>
        </w:rPr>
        <w:t xml:space="preserve">Lemov, D. (2010). Teach like a champion: 49 techniques that put students on the path to college. Jossey-Bass.</w:t>
      </w:r>
    </w:p>
    <w:p>
      <w:pPr>
        <w:spacing w:after="160" w:before="0"/>
        <w:jc w:val="both"/>
      </w:pPr>
      <w:r>
        <w:rPr>
          <w:rFonts w:ascii="Georgia" w:cs="Georgia" w:eastAsia="Georgia" w:hAnsi="Georgia"/>
          <w:b w:val="false"/>
          <w:bCs w:val="false"/>
          <w:i w:val="false"/>
          <w:iCs w:val="false"/>
          <w:color w:val="000000"/>
          <w:sz w:val="22"/>
          <w:szCs w:val="22"/>
        </w:rPr>
        <w:t xml:space="preserve">Pearson, P. D., &amp; Gallagher, M. C. (1983). The instruction of reading comprehension. Contemporary Educational Psychology, 8(3), 317–344.</w:t>
      </w:r>
    </w:p>
    <w:p>
      <w:pPr>
        <w:spacing w:after="160" w:before="0"/>
        <w:jc w:val="both"/>
      </w:pPr>
      <w:r>
        <w:rPr>
          <w:rFonts w:ascii="Georgia" w:cs="Georgia" w:eastAsia="Georgia" w:hAnsi="Georgia"/>
          <w:b w:val="false"/>
          <w:bCs w:val="false"/>
          <w:i w:val="false"/>
          <w:iCs w:val="false"/>
          <w:color w:val="000000"/>
          <w:sz w:val="22"/>
          <w:szCs w:val="22"/>
        </w:rPr>
        <w:t xml:space="preserve">Piaget, J. (1952). The origins of intelligence in children. International Universities Press.</w:t>
      </w:r>
    </w:p>
    <w:p>
      <w:pPr>
        <w:spacing w:after="160" w:before="0"/>
        <w:jc w:val="both"/>
      </w:pPr>
      <w:r>
        <w:rPr>
          <w:rFonts w:ascii="Georgia" w:cs="Georgia" w:eastAsia="Georgia" w:hAnsi="Georgia"/>
          <w:b w:val="false"/>
          <w:bCs w:val="false"/>
          <w:i w:val="false"/>
          <w:iCs w:val="false"/>
          <w:color w:val="000000"/>
          <w:sz w:val="22"/>
          <w:szCs w:val="22"/>
        </w:rPr>
        <w:t xml:space="preserve">Plato. (1997). Complete works (J. M. Cooper, Ed.). Hackett Publishing.</w:t>
      </w:r>
    </w:p>
    <w:p>
      <w:pPr>
        <w:spacing w:after="160" w:before="0"/>
        <w:jc w:val="both"/>
      </w:pPr>
      <w:r>
        <w:rPr>
          <w:rFonts w:ascii="Georgia" w:cs="Georgia" w:eastAsia="Georgia" w:hAnsi="Georgia"/>
          <w:b w:val="false"/>
          <w:bCs w:val="false"/>
          <w:i w:val="false"/>
          <w:iCs w:val="false"/>
          <w:color w:val="000000"/>
          <w:sz w:val="22"/>
          <w:szCs w:val="22"/>
        </w:rPr>
        <w:t xml:space="preserve">Queensland Curriculum and Assessment Authority. (2019). Modern History senior syllabus 2019. QCAA.</w:t>
      </w:r>
    </w:p>
    <w:p>
      <w:pPr>
        <w:spacing w:after="160" w:before="0"/>
        <w:jc w:val="both"/>
      </w:pPr>
      <w:r>
        <w:rPr>
          <w:rFonts w:ascii="Georgia" w:cs="Georgia" w:eastAsia="Georgia" w:hAnsi="Georgia"/>
          <w:b w:val="false"/>
          <w:bCs w:val="false"/>
          <w:i w:val="false"/>
          <w:iCs w:val="false"/>
          <w:color w:val="000000"/>
          <w:sz w:val="22"/>
          <w:szCs w:val="22"/>
        </w:rPr>
        <w:t xml:space="preserve">Shanahan, T., &amp; Shanahan, C. (2008). Teaching disciplinary literacy to adolescents: Rethinking content-area literacy. Harvard Educational Review, 78(1), 40–59.</w:t>
      </w:r>
    </w:p>
    <w:p>
      <w:pPr>
        <w:spacing w:after="160" w:before="0"/>
        <w:jc w:val="both"/>
      </w:pPr>
      <w:r>
        <w:rPr>
          <w:rFonts w:ascii="Georgia" w:cs="Georgia" w:eastAsia="Georgia" w:hAnsi="Georgia"/>
          <w:b w:val="false"/>
          <w:bCs w:val="false"/>
          <w:i w:val="false"/>
          <w:iCs w:val="false"/>
          <w:color w:val="000000"/>
          <w:sz w:val="22"/>
          <w:szCs w:val="22"/>
        </w:rPr>
        <w:t xml:space="preserve">Vygotsky, L. S. (1978). Mind in society: The development of higher psychological processes (M. Cole et al., Eds. &amp; Trans.). Harvard University Press.</w:t>
      </w:r>
    </w:p>
    <w:p>
      <w:pPr>
        <w:spacing w:after="160" w:before="0"/>
        <w:jc w:val="both"/>
      </w:pPr>
      <w:r>
        <w:rPr>
          <w:rFonts w:ascii="Georgia" w:cs="Georgia" w:eastAsia="Georgia" w:hAnsi="Georgia"/>
          <w:b w:val="false"/>
          <w:bCs w:val="false"/>
          <w:i w:val="false"/>
          <w:iCs w:val="false"/>
          <w:color w:val="000000"/>
          <w:sz w:val="22"/>
          <w:szCs w:val="22"/>
        </w:rPr>
        <w:t xml:space="preserve">Wiggins, G., &amp; McTighe, J. (2005). Understanding by design (2nd ed.). ASCD.</w:t>
      </w:r>
    </w:p>
    <w:p>
      <w:pPr>
        <w:spacing w:after="160" w:before="0"/>
        <w:jc w:val="both"/>
      </w:pPr>
      <w:r>
        <w:rPr>
          <w:rFonts w:ascii="Georgia" w:cs="Georgia" w:eastAsia="Georgia" w:hAnsi="Georgia"/>
          <w:b w:val="false"/>
          <w:bCs w:val="false"/>
          <w:i w:val="false"/>
          <w:iCs w:val="false"/>
          <w:color w:val="000000"/>
          <w:sz w:val="22"/>
          <w:szCs w:val="22"/>
        </w:rPr>
        <w:t xml:space="preserve">Wineburg, S. S. (1991). Historical problem solving: A study of the cognitive processes used in the evaluation of documentary and pictorial evidence. Journal of Educational Psychology, 83(1), 73–87.</w:t>
      </w:r>
    </w:p>
    <w:p>
      <w:pPr>
        <w:spacing w:after="160" w:before="0"/>
        <w:jc w:val="both"/>
      </w:pPr>
      <w:r>
        <w:rPr>
          <w:rFonts w:ascii="Georgia" w:cs="Georgia" w:eastAsia="Georgia" w:hAnsi="Georgia"/>
          <w:b w:val="false"/>
          <w:bCs w:val="false"/>
          <w:i w:val="false"/>
          <w:iCs w:val="false"/>
          <w:color w:val="000000"/>
          <w:sz w:val="22"/>
          <w:szCs w:val="22"/>
        </w:rPr>
        <w:t xml:space="preserve">Wineburg, S. S. (2001). Historical thinking and other unnatural acts: Charting the future of teaching the past. Temple University Press.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before="40"/>
        <w:ind w:left="640" w:hanging="320"/>
      </w:pPr>
    </w:lvl>
  </w:abstractNum>
  <w:abstractNum w:abstractNumId="3" w15:restartNumberingAfterBreak="0">
    <w:multiLevelType w:val="hybridMultilevel"/>
    <w:lvl w:ilvl="0" w15:tentative="1">
      <w:start w:val="1"/>
      <w:numFmt w:val="bullet"/>
      <w:lvlText w:val="–"/>
      <w:lvlJc w:val="left"/>
      <w:pPr>
        <w:spacing w:after="20" w:before="20"/>
        <w:ind w:left="520" w:hanging="260"/>
      </w:pPr>
    </w:lvl>
  </w:abstractNum>
  <w:abstractNum w:abstractNumId="4" w15:restartNumberingAfterBreak="0">
    <w:multiLevelType w:val="hybridMultilevel"/>
    <w:lvl w:ilvl="0" w15:tentative="1">
      <w:start w:val="1"/>
      <w:numFmt w:val="decimal"/>
      <w:lvlText w:val="%1."/>
      <w:lvlJc w:val="left"/>
      <w:pPr>
        <w:spacing w:after="60" w:before="60"/>
        <w:ind w:left="72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Georgia" w:cs="Georgia" w:eastAsia="Georgia" w:hAnsi="Georgia"/>
      <w:b/>
      <w:bCs/>
      <w:color w:val="1A2A4A"/>
      <w:sz w:val="36"/>
      <w:szCs w:val="36"/>
    </w:rPr>
  </w:style>
  <w:style w:type="paragraph" w:styleId="Heading2">
    <w:name w:val="Heading 2"/>
    <w:basedOn w:val="Normal"/>
    <w:next w:val="Normal"/>
    <w:qFormat/>
    <w:pPr>
      <w:spacing w:after="120" w:before="360"/>
      <w:outlineLvl w:val="1"/>
    </w:pPr>
    <w:rPr>
      <w:rFonts w:ascii="Georgia" w:cs="Georgia" w:eastAsia="Georgia" w:hAnsi="Georgia"/>
      <w:b/>
      <w:bCs/>
      <w:color w:val="1A2A4A"/>
      <w:sz w:val="28"/>
      <w:szCs w:val="28"/>
    </w:rPr>
  </w:style>
  <w:style w:type="paragraph" w:styleId="Heading3">
    <w:name w:val="Heading 3"/>
    <w:basedOn w:val="Normal"/>
    <w:next w:val="Normal"/>
    <w:qFormat/>
    <w:pPr>
      <w:spacing w:after="80" w:before="280"/>
      <w:outlineLvl w:val="2"/>
    </w:pPr>
    <w:rPr>
      <w:rFonts w:ascii="Georgia" w:cs="Georgia" w:eastAsia="Georgia" w:hAnsi="Georgia"/>
      <w:b/>
      <w:bCs/>
      <w:color w:val="8B691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2026-04-13T03:21:12.966Z</dcterms:created>
  <dcterms:modified xsi:type="dcterms:W3CDTF">2026-04-13T03:21:12.967Z</dcterms:modified>
</cp:coreProperties>
</file>

<file path=docProps/custom.xml><?xml version="1.0" encoding="utf-8"?>
<Properties xmlns="http://schemas.openxmlformats.org/officeDocument/2006/custom-properties" xmlns:vt="http://schemas.openxmlformats.org/officeDocument/2006/docPropsVTypes"/>
</file>